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0D912" w14:textId="4D9E18D4" w:rsidR="00B0175C" w:rsidRDefault="00795FE9">
      <w:r>
        <w:rPr>
          <w:noProof/>
        </w:rPr>
        <mc:AlternateContent>
          <mc:Choice Requires="wps">
            <w:drawing>
              <wp:anchor distT="0" distB="0" distL="114300" distR="114300" simplePos="0" relativeHeight="251661312" behindDoc="0" locked="0" layoutInCell="1" allowOverlap="1" wp14:anchorId="39E32C5C" wp14:editId="2AEC3E84">
                <wp:simplePos x="0" y="0"/>
                <wp:positionH relativeFrom="margin">
                  <wp:align>center</wp:align>
                </wp:positionH>
                <wp:positionV relativeFrom="paragraph">
                  <wp:posOffset>196850</wp:posOffset>
                </wp:positionV>
                <wp:extent cx="7469505" cy="1000125"/>
                <wp:effectExtent l="0" t="0" r="17145" b="28575"/>
                <wp:wrapNone/>
                <wp:docPr id="6" name="Rectangle 6"/>
                <wp:cNvGraphicFramePr/>
                <a:graphic xmlns:a="http://schemas.openxmlformats.org/drawingml/2006/main">
                  <a:graphicData uri="http://schemas.microsoft.com/office/word/2010/wordprocessingShape">
                    <wps:wsp>
                      <wps:cNvSpPr/>
                      <wps:spPr>
                        <a:xfrm>
                          <a:off x="0" y="0"/>
                          <a:ext cx="7469505" cy="1000125"/>
                        </a:xfrm>
                        <a:prstGeom prst="rect">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C9724B" id="Rectangle 6" o:spid="_x0000_s1026" style="position:absolute;margin-left:0;margin-top:15.5pt;width:588.15pt;height:78.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" fillcolor="#2f5496 [2408]" strokecolor="#1f4d78 [1604]" strokeweight="1pt">
                <w10:wrap anchorx="margin"/>
              </v:rect>
            </w:pict>
          </mc:Fallback>
        </mc:AlternateContent>
      </w:r>
    </w:p>
    <w:p w14:paraId="38E470E4" w14:textId="4C524C80" w:rsidR="00046FD5" w:rsidRDefault="00CA0F12">
      <w:r>
        <w:rPr>
          <w:rFonts w:ascii="Arial" w:hAnsi="Arial" w:cs="Arial"/>
          <w:b/>
          <w:noProof/>
          <w:color w:val="FFFFFF" w:themeColor="background1"/>
          <w:sz w:val="56"/>
          <w:szCs w:val="56"/>
        </w:rPr>
        <w:drawing>
          <wp:anchor distT="0" distB="0" distL="114300" distR="114300" simplePos="0" relativeHeight="251692032" behindDoc="1" locked="0" layoutInCell="1" allowOverlap="1" wp14:anchorId="78369C05" wp14:editId="4C475F4C">
            <wp:simplePos x="0" y="0"/>
            <wp:positionH relativeFrom="column">
              <wp:posOffset>5299075</wp:posOffset>
            </wp:positionH>
            <wp:positionV relativeFrom="paragraph">
              <wp:posOffset>64135</wp:posOffset>
            </wp:positionV>
            <wp:extent cx="1691005" cy="721360"/>
            <wp:effectExtent l="0" t="0" r="4445" b="2540"/>
            <wp:wrapTight wrapText="bothSides">
              <wp:wrapPolygon edited="0">
                <wp:start x="2433" y="0"/>
                <wp:lineTo x="0" y="3993"/>
                <wp:lineTo x="0" y="14831"/>
                <wp:lineTo x="730" y="18254"/>
                <wp:lineTo x="2190" y="21106"/>
                <wp:lineTo x="2433" y="21106"/>
                <wp:lineTo x="14113" y="21106"/>
                <wp:lineTo x="18980" y="21106"/>
                <wp:lineTo x="20440" y="20535"/>
                <wp:lineTo x="19953" y="18254"/>
                <wp:lineTo x="21413" y="15401"/>
                <wp:lineTo x="21413" y="11979"/>
                <wp:lineTo x="20440" y="6275"/>
                <wp:lineTo x="17520" y="4563"/>
                <wp:lineTo x="6570" y="0"/>
                <wp:lineTo x="2433"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ID_HORZ_FULL_WHI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1005" cy="721360"/>
                    </a:xfrm>
                    <a:prstGeom prst="rect">
                      <a:avLst/>
                    </a:prstGeom>
                  </pic:spPr>
                </pic:pic>
              </a:graphicData>
            </a:graphic>
          </wp:anchor>
        </w:drawing>
      </w:r>
      <w:r w:rsidR="00D9602C">
        <w:rPr>
          <w:noProof/>
        </w:rPr>
        <mc:AlternateContent>
          <mc:Choice Requires="wps">
            <w:drawing>
              <wp:anchor distT="0" distB="0" distL="114300" distR="114300" simplePos="0" relativeHeight="251662336" behindDoc="0" locked="0" layoutInCell="1" allowOverlap="1" wp14:anchorId="71B28894" wp14:editId="01600568">
                <wp:simplePos x="0" y="0"/>
                <wp:positionH relativeFrom="column">
                  <wp:posOffset>290195</wp:posOffset>
                </wp:positionH>
                <wp:positionV relativeFrom="paragraph">
                  <wp:posOffset>175895</wp:posOffset>
                </wp:positionV>
                <wp:extent cx="4883150" cy="8191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883150" cy="819150"/>
                        </a:xfrm>
                        <a:prstGeom prst="rect">
                          <a:avLst/>
                        </a:prstGeom>
                        <a:noFill/>
                        <a:ln w="6350">
                          <a:noFill/>
                        </a:ln>
                      </wps:spPr>
                      <wps:txbx>
                        <w:txbxContent>
                          <w:p w14:paraId="186B3207" w14:textId="77777777" w:rsidR="002A2430" w:rsidRPr="007A1C53" w:rsidRDefault="002A2430" w:rsidP="002A2430">
                            <w:pPr>
                              <w:pStyle w:val="NoSpacing"/>
                              <w:rPr>
                                <w:rFonts w:ascii="Arial" w:hAnsi="Arial" w:cs="Arial"/>
                                <w:color w:val="FFFFFF" w:themeColor="background1"/>
                                <w:sz w:val="24"/>
                                <w:szCs w:val="24"/>
                              </w:rPr>
                            </w:pPr>
                            <w:r>
                              <w:rPr>
                                <w:rFonts w:ascii="Arial" w:hAnsi="Arial" w:cs="Arial"/>
                                <w:color w:val="FFFFFF" w:themeColor="background1"/>
                                <w:sz w:val="20"/>
                                <w:szCs w:val="20"/>
                              </w:rPr>
                              <w:t xml:space="preserve"> </w:t>
                            </w:r>
                            <w:r w:rsidRPr="007A1C53">
                              <w:rPr>
                                <w:rFonts w:ascii="Arial" w:hAnsi="Arial" w:cs="Arial"/>
                                <w:color w:val="FFFFFF" w:themeColor="background1"/>
                                <w:sz w:val="24"/>
                                <w:szCs w:val="24"/>
                              </w:rPr>
                              <w:t>Exploring the possibility</w:t>
                            </w:r>
                          </w:p>
                          <w:p w14:paraId="636AFF39" w14:textId="04ABAEF1" w:rsidR="002A2430" w:rsidRPr="002A2430" w:rsidRDefault="002A2430" w:rsidP="002A2430">
                            <w:pPr>
                              <w:pStyle w:val="NoSpacing"/>
                              <w:rPr>
                                <w:rFonts w:ascii="Arial" w:hAnsi="Arial" w:cs="Arial"/>
                                <w:b/>
                                <w:color w:val="FFFFFF" w:themeColor="background1"/>
                                <w:sz w:val="56"/>
                                <w:szCs w:val="56"/>
                              </w:rPr>
                            </w:pPr>
                            <w:r w:rsidRPr="002A2430">
                              <w:rPr>
                                <w:rFonts w:ascii="Arial" w:hAnsi="Arial" w:cs="Arial"/>
                                <w:b/>
                                <w:color w:val="FFFFFF" w:themeColor="background1"/>
                                <w:sz w:val="56"/>
                                <w:szCs w:val="56"/>
                              </w:rPr>
                              <w:t>Local Power Solution</w:t>
                            </w:r>
                          </w:p>
                          <w:p w14:paraId="1ACE0EE4" w14:textId="77777777" w:rsidR="00046FD5" w:rsidRPr="00833839" w:rsidRDefault="00046FD5" w:rsidP="00EC2BC2">
                            <w:pPr>
                              <w:jc w:val="center"/>
                              <w:rPr>
                                <w:rFonts w:ascii="Trebuchet MS" w:hAnsi="Trebuchet MS" w:cs="Arial"/>
                                <w:color w:val="FFFFFF" w:themeColor="background1"/>
                                <w:sz w:val="40"/>
                                <w:szCs w:val="40"/>
                              </w:rPr>
                            </w:pPr>
                          </w:p>
                          <w:p w14:paraId="6E1E0ADB" w14:textId="77777777" w:rsidR="00046FD5" w:rsidRDefault="00046FD5">
                            <w:pPr>
                              <w:rPr>
                                <w:rFonts w:ascii="Arial" w:hAnsi="Arial" w:cs="Arial"/>
                                <w:color w:val="FFFFFF" w:themeColor="background1"/>
                                <w:sz w:val="20"/>
                                <w:szCs w:val="20"/>
                              </w:rPr>
                            </w:pPr>
                          </w:p>
                          <w:p w14:paraId="11935F15" w14:textId="77777777" w:rsidR="00046FD5" w:rsidRPr="00046FD5" w:rsidRDefault="00046FD5">
                            <w:pPr>
                              <w:rPr>
                                <w:rFonts w:ascii="Arial" w:hAnsi="Arial" w:cs="Arial"/>
                                <w:color w:val="FFFFFF" w:themeColor="background1"/>
                                <w:sz w:val="20"/>
                                <w:szCs w:val="20"/>
                              </w:rPr>
                            </w:pPr>
                            <w:r>
                              <w:rPr>
                                <w:rFonts w:ascii="Arial" w:hAnsi="Arial" w:cs="Arial"/>
                                <w:color w:val="FFFFFF" w:themeColor="background1"/>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B28894" id="_x0000_t202" coordsize="21600,21600" o:spt="202" path="m,l,21600r21600,l21600,xe">
                <v:stroke joinstyle="miter"/>
                <v:path gradientshapeok="t" o:connecttype="rect"/>
              </v:shapetype>
              <v:shape id="Text Box 7" o:spid="_x0000_s1026" type="#_x0000_t202" style="position:absolute;margin-left:22.85pt;margin-top:13.85pt;width:384.5pt;height: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" filled="f" stroked="f" strokeweight=".5pt">
                <v:textbox>
                  <w:txbxContent>
                    <w:p w14:paraId="186B3207" w14:textId="77777777" w:rsidR="002A2430" w:rsidRPr="007A1C53" w:rsidRDefault="002A2430" w:rsidP="002A2430">
                      <w:pPr>
                        <w:pStyle w:val="NoSpacing"/>
                        <w:rPr>
                          <w:rFonts w:ascii="Arial" w:hAnsi="Arial" w:cs="Arial"/>
                          <w:color w:val="FFFFFF" w:themeColor="background1"/>
                          <w:sz w:val="24"/>
                          <w:szCs w:val="24"/>
                        </w:rPr>
                      </w:pPr>
                      <w:r>
                        <w:rPr>
                          <w:rFonts w:ascii="Arial" w:hAnsi="Arial" w:cs="Arial"/>
                          <w:color w:val="FFFFFF" w:themeColor="background1"/>
                          <w:sz w:val="20"/>
                          <w:szCs w:val="20"/>
                        </w:rPr>
                        <w:t xml:space="preserve"> </w:t>
                      </w:r>
                      <w:r w:rsidRPr="007A1C53">
                        <w:rPr>
                          <w:rFonts w:ascii="Arial" w:hAnsi="Arial" w:cs="Arial"/>
                          <w:color w:val="FFFFFF" w:themeColor="background1"/>
                          <w:sz w:val="24"/>
                          <w:szCs w:val="24"/>
                        </w:rPr>
                        <w:t>Exploring the possibility</w:t>
                      </w:r>
                    </w:p>
                    <w:p w14:paraId="636AFF39" w14:textId="04ABAEF1" w:rsidR="002A2430" w:rsidRPr="002A2430" w:rsidRDefault="002A2430" w:rsidP="002A2430">
                      <w:pPr>
                        <w:pStyle w:val="NoSpacing"/>
                        <w:rPr>
                          <w:rFonts w:ascii="Arial" w:hAnsi="Arial" w:cs="Arial"/>
                          <w:b/>
                          <w:color w:val="FFFFFF" w:themeColor="background1"/>
                          <w:sz w:val="56"/>
                          <w:szCs w:val="56"/>
                        </w:rPr>
                      </w:pPr>
                      <w:r w:rsidRPr="002A2430">
                        <w:rPr>
                          <w:rFonts w:ascii="Arial" w:hAnsi="Arial" w:cs="Arial"/>
                          <w:b/>
                          <w:color w:val="FFFFFF" w:themeColor="background1"/>
                          <w:sz w:val="56"/>
                          <w:szCs w:val="56"/>
                        </w:rPr>
                        <w:t>Local Power Solution</w:t>
                      </w:r>
                    </w:p>
                    <w:p w14:paraId="1ACE0EE4" w14:textId="77777777" w:rsidR="00046FD5" w:rsidRPr="00833839" w:rsidRDefault="00046FD5" w:rsidP="00EC2BC2">
                      <w:pPr>
                        <w:jc w:val="center"/>
                        <w:rPr>
                          <w:rFonts w:ascii="Trebuchet MS" w:hAnsi="Trebuchet MS" w:cs="Arial"/>
                          <w:color w:val="FFFFFF" w:themeColor="background1"/>
                          <w:sz w:val="40"/>
                          <w:szCs w:val="40"/>
                        </w:rPr>
                      </w:pPr>
                    </w:p>
                    <w:p w14:paraId="6E1E0ADB" w14:textId="77777777" w:rsidR="00046FD5" w:rsidRDefault="00046FD5">
                      <w:pPr>
                        <w:rPr>
                          <w:rFonts w:ascii="Arial" w:hAnsi="Arial" w:cs="Arial"/>
                          <w:color w:val="FFFFFF" w:themeColor="background1"/>
                          <w:sz w:val="20"/>
                          <w:szCs w:val="20"/>
                        </w:rPr>
                      </w:pPr>
                    </w:p>
                    <w:p w14:paraId="11935F15" w14:textId="77777777" w:rsidR="00046FD5" w:rsidRPr="00046FD5" w:rsidRDefault="00046FD5">
                      <w:pPr>
                        <w:rPr>
                          <w:rFonts w:ascii="Arial" w:hAnsi="Arial" w:cs="Arial"/>
                          <w:color w:val="FFFFFF" w:themeColor="background1"/>
                          <w:sz w:val="20"/>
                          <w:szCs w:val="20"/>
                        </w:rPr>
                      </w:pPr>
                      <w:r>
                        <w:rPr>
                          <w:rFonts w:ascii="Arial" w:hAnsi="Arial" w:cs="Arial"/>
                          <w:color w:val="FFFFFF" w:themeColor="background1"/>
                          <w:sz w:val="20"/>
                          <w:szCs w:val="20"/>
                        </w:rPr>
                        <w:t xml:space="preserve">                                                                     </w:t>
                      </w:r>
                    </w:p>
                  </w:txbxContent>
                </v:textbox>
              </v:shape>
            </w:pict>
          </mc:Fallback>
        </mc:AlternateContent>
      </w:r>
    </w:p>
    <w:p w14:paraId="2ECB9D4A" w14:textId="00D40B0A" w:rsidR="00046FD5" w:rsidRDefault="00046FD5"/>
    <w:p w14:paraId="545DFE24" w14:textId="73D4A42E" w:rsidR="00046FD5" w:rsidRDefault="00046FD5"/>
    <w:p w14:paraId="34EB9840" w14:textId="14DA47BC" w:rsidR="00822C1C" w:rsidRPr="00822C1C" w:rsidRDefault="00822C1C" w:rsidP="00822C1C">
      <w:pPr>
        <w:pStyle w:val="NoSpacing"/>
        <w:jc w:val="center"/>
        <w:rPr>
          <w:rFonts w:ascii="Trebuchet MS" w:hAnsi="Trebuchet MS"/>
          <w:b/>
          <w:sz w:val="16"/>
          <w:szCs w:val="16"/>
        </w:rPr>
      </w:pPr>
    </w:p>
    <w:p w14:paraId="4D3C9BAD" w14:textId="77777777" w:rsidR="00662E4F" w:rsidRPr="00822C1C" w:rsidRDefault="00662E4F" w:rsidP="00662E4F">
      <w:pPr>
        <w:pStyle w:val="NoSpacing"/>
        <w:ind w:left="720"/>
        <w:rPr>
          <w:sz w:val="21"/>
          <w:szCs w:val="21"/>
        </w:rPr>
      </w:pPr>
    </w:p>
    <w:p w14:paraId="3070EA82" w14:textId="77777777" w:rsidR="004A1E48" w:rsidRDefault="002A2430" w:rsidP="004A1E48">
      <w:pPr>
        <w:pStyle w:val="NoSpacing"/>
        <w:spacing w:before="120" w:after="120" w:line="280" w:lineRule="exact"/>
        <w:ind w:left="1354" w:right="763"/>
        <w:rPr>
          <w:rFonts w:ascii="Arial" w:eastAsia="Helvetica" w:hAnsi="Arial" w:cs="Arial"/>
          <w:b/>
          <w:bCs/>
          <w:color w:val="ABAD23"/>
          <w:sz w:val="32"/>
          <w:szCs w:val="32"/>
        </w:rPr>
      </w:pPr>
      <w:r>
        <w:rPr>
          <w:rFonts w:ascii="Arial" w:eastAsia="Helvetica" w:hAnsi="Arial" w:cs="Arial"/>
          <w:b/>
          <w:bCs/>
          <w:color w:val="ABAD23"/>
          <w:sz w:val="32"/>
          <w:szCs w:val="32"/>
        </w:rPr>
        <w:t xml:space="preserve">       </w:t>
      </w:r>
    </w:p>
    <w:p w14:paraId="570C4163" w14:textId="58403554" w:rsidR="00D9602C" w:rsidRPr="004A1E48" w:rsidRDefault="00D9602C" w:rsidP="004A1E48">
      <w:pPr>
        <w:pStyle w:val="NoSpacing"/>
        <w:spacing w:after="240"/>
        <w:ind w:firstLine="630"/>
        <w:rPr>
          <w:rFonts w:ascii="Arial" w:eastAsia="Helvetica" w:hAnsi="Arial" w:cs="Arial"/>
          <w:b/>
          <w:bCs/>
          <w:color w:val="ABAD23"/>
          <w:sz w:val="36"/>
          <w:szCs w:val="36"/>
        </w:rPr>
      </w:pPr>
      <w:r w:rsidRPr="00D9602C">
        <w:rPr>
          <w:rFonts w:ascii="Arial" w:eastAsia="Helvetica" w:hAnsi="Arial" w:cs="Arial"/>
          <w:b/>
          <w:bCs/>
          <w:color w:val="2F5496" w:themeColor="accent5" w:themeShade="BF"/>
          <w:sz w:val="36"/>
          <w:szCs w:val="36"/>
        </w:rPr>
        <w:t>Local Control to Serve Community Interests</w:t>
      </w:r>
    </w:p>
    <w:p w14:paraId="0C3559FF" w14:textId="33E709E2" w:rsidR="00D9602C" w:rsidRPr="00D9602C" w:rsidRDefault="00D9602C" w:rsidP="004A1E48">
      <w:pPr>
        <w:pStyle w:val="Callout"/>
        <w:spacing w:line="280" w:lineRule="exact"/>
        <w:ind w:left="634" w:right="763"/>
        <w:rPr>
          <w:rFonts w:ascii="Arial" w:hAnsi="Arial" w:cs="Arial"/>
          <w:b w:val="0"/>
          <w:bCs w:val="0"/>
          <w:color w:val="auto"/>
          <w:sz w:val="22"/>
          <w:szCs w:val="22"/>
        </w:rPr>
      </w:pPr>
      <w:r w:rsidRPr="00D9602C">
        <w:rPr>
          <w:rFonts w:ascii="Arial" w:hAnsi="Arial" w:cs="Arial"/>
          <w:b w:val="0"/>
          <w:bCs w:val="0"/>
          <w:color w:val="auto"/>
          <w:sz w:val="22"/>
          <w:szCs w:val="22"/>
        </w:rPr>
        <w:t xml:space="preserve">Pacific Gas &amp; Electric Company's bankruptcy filing could have a dramatic effect on the future of a vital and reliable electric supply in our region. </w:t>
      </w:r>
      <w:r>
        <w:rPr>
          <w:rFonts w:ascii="Arial" w:hAnsi="Arial" w:cs="Arial"/>
          <w:b w:val="0"/>
          <w:bCs w:val="0"/>
          <w:color w:val="auto"/>
          <w:sz w:val="22"/>
          <w:szCs w:val="22"/>
        </w:rPr>
        <w:t xml:space="preserve">There is an opportunity for the community to take a proactive step to gain </w:t>
      </w:r>
      <w:r w:rsidR="004A1E48">
        <w:rPr>
          <w:rFonts w:ascii="Arial" w:hAnsi="Arial" w:cs="Arial"/>
          <w:b w:val="0"/>
          <w:bCs w:val="0"/>
          <w:color w:val="auto"/>
          <w:sz w:val="22"/>
          <w:szCs w:val="22"/>
        </w:rPr>
        <w:t xml:space="preserve">control over our power future according to our own best interests. </w:t>
      </w:r>
    </w:p>
    <w:p w14:paraId="3AC25C49" w14:textId="77777777" w:rsidR="004A1E48" w:rsidRDefault="004A1E48" w:rsidP="004A1E48">
      <w:pPr>
        <w:pStyle w:val="NoSpacing"/>
        <w:spacing w:after="240"/>
        <w:ind w:left="630"/>
        <w:rPr>
          <w:rFonts w:ascii="Arial" w:eastAsia="Helvetica" w:hAnsi="Arial" w:cs="Arial"/>
          <w:b/>
          <w:bCs/>
          <w:color w:val="2F5496" w:themeColor="accent5" w:themeShade="BF"/>
          <w:sz w:val="36"/>
          <w:szCs w:val="36"/>
        </w:rPr>
      </w:pPr>
    </w:p>
    <w:p w14:paraId="14604BA6" w14:textId="2881AEED" w:rsidR="004A1E48" w:rsidRPr="004A1E48" w:rsidRDefault="004A1E48" w:rsidP="004A1E48">
      <w:pPr>
        <w:pStyle w:val="NoSpacing"/>
        <w:spacing w:after="360"/>
        <w:ind w:left="634"/>
        <w:rPr>
          <w:rFonts w:ascii="Arial" w:eastAsia="Helvetica" w:hAnsi="Arial" w:cs="Arial"/>
          <w:b/>
          <w:bCs/>
          <w:color w:val="2F5496" w:themeColor="accent5" w:themeShade="BF"/>
          <w:sz w:val="36"/>
          <w:szCs w:val="36"/>
        </w:rPr>
      </w:pPr>
      <w:r w:rsidRPr="004A1E48">
        <w:rPr>
          <w:rFonts w:ascii="Arial" w:eastAsia="Helvetica" w:hAnsi="Arial" w:cs="Arial"/>
          <w:b/>
          <w:bCs/>
          <w:color w:val="2F5496" w:themeColor="accent5" w:themeShade="BF"/>
          <w:sz w:val="36"/>
          <w:szCs w:val="36"/>
        </w:rPr>
        <w:t xml:space="preserve">Key Public Benefits: Power </w:t>
      </w:r>
      <w:r w:rsidR="00601161">
        <w:rPr>
          <w:rFonts w:ascii="Arial" w:eastAsia="Helvetica" w:hAnsi="Arial" w:cs="Arial"/>
          <w:b/>
          <w:bCs/>
          <w:color w:val="2F5496" w:themeColor="accent5" w:themeShade="BF"/>
          <w:sz w:val="36"/>
          <w:szCs w:val="36"/>
        </w:rPr>
        <w:t>for</w:t>
      </w:r>
      <w:r w:rsidRPr="004A1E48">
        <w:rPr>
          <w:rFonts w:ascii="Arial" w:eastAsia="Helvetica" w:hAnsi="Arial" w:cs="Arial"/>
          <w:b/>
          <w:bCs/>
          <w:color w:val="2F5496" w:themeColor="accent5" w:themeShade="BF"/>
          <w:sz w:val="36"/>
          <w:szCs w:val="36"/>
        </w:rPr>
        <w:t xml:space="preserve"> the People </w:t>
      </w:r>
    </w:p>
    <w:p w14:paraId="1AA81149" w14:textId="1EA9B6DB" w:rsidR="004A1E48" w:rsidRPr="004A1E48" w:rsidRDefault="004A1E48" w:rsidP="004A1E48">
      <w:pPr>
        <w:pStyle w:val="Subhead"/>
        <w:numPr>
          <w:ilvl w:val="0"/>
          <w:numId w:val="4"/>
        </w:numPr>
        <w:spacing w:before="120" w:after="120" w:line="240" w:lineRule="exact"/>
        <w:ind w:left="1354"/>
        <w:rPr>
          <w:rFonts w:ascii="Arial" w:hAnsi="Arial" w:cs="Arial"/>
          <w:sz w:val="24"/>
          <w:szCs w:val="24"/>
        </w:rPr>
      </w:pPr>
      <w:r w:rsidRPr="003B45C5">
        <w:rPr>
          <w:rFonts w:ascii="Arial" w:hAnsi="Arial" w:cs="Arial"/>
          <w:sz w:val="24"/>
          <w:szCs w:val="24"/>
        </w:rPr>
        <w:t>Local control of retail electric policies and practices</w:t>
      </w:r>
    </w:p>
    <w:p w14:paraId="25C88075" w14:textId="09B41832" w:rsidR="004A1E48" w:rsidRDefault="004A1E48" w:rsidP="004A1E48">
      <w:pPr>
        <w:pStyle w:val="NoSpacing"/>
        <w:spacing w:before="120" w:after="120" w:line="280" w:lineRule="exact"/>
        <w:ind w:left="1354" w:right="763"/>
        <w:rPr>
          <w:rFonts w:ascii="Arial" w:hAnsi="Arial" w:cs="Arial"/>
        </w:rPr>
      </w:pPr>
      <w:r w:rsidRPr="003B45C5">
        <w:rPr>
          <w:rFonts w:ascii="Arial" w:hAnsi="Arial" w:cs="Arial"/>
        </w:rPr>
        <w:t>Under local control, the priority is an uninterrupted supply of safe, clean power for our region. A local solution means the utility is headquartered in, operating within and accountable to the community it serves.</w:t>
      </w:r>
    </w:p>
    <w:p w14:paraId="3C1BEDE4" w14:textId="77777777" w:rsidR="004A1E48" w:rsidRDefault="004A1E48" w:rsidP="004A1E48">
      <w:pPr>
        <w:pStyle w:val="NoSpacing"/>
        <w:spacing w:before="120" w:after="120" w:line="260" w:lineRule="exact"/>
        <w:ind w:left="1354" w:right="763"/>
        <w:rPr>
          <w:rFonts w:ascii="Arial" w:hAnsi="Arial" w:cs="Arial"/>
        </w:rPr>
      </w:pPr>
    </w:p>
    <w:p w14:paraId="2734CBCF" w14:textId="032DE216" w:rsidR="004A1E48" w:rsidRPr="004A1E48" w:rsidRDefault="004A1E48" w:rsidP="004A1E48">
      <w:pPr>
        <w:pStyle w:val="Subhead"/>
        <w:numPr>
          <w:ilvl w:val="0"/>
          <w:numId w:val="4"/>
        </w:numPr>
        <w:rPr>
          <w:rFonts w:ascii="Arial" w:hAnsi="Arial" w:cs="Arial"/>
          <w:sz w:val="24"/>
          <w:szCs w:val="24"/>
        </w:rPr>
      </w:pPr>
      <w:r w:rsidRPr="00795FE9">
        <w:rPr>
          <w:rFonts w:ascii="Arial" w:hAnsi="Arial" w:cs="Arial"/>
          <w:sz w:val="24"/>
          <w:szCs w:val="24"/>
        </w:rPr>
        <w:t>Access to locally elected policy-makers</w:t>
      </w:r>
    </w:p>
    <w:p w14:paraId="310F3DF9" w14:textId="0FA295C5" w:rsidR="004A1E48" w:rsidRDefault="004A1E48" w:rsidP="004A1E48">
      <w:pPr>
        <w:pStyle w:val="NoSpacing"/>
        <w:spacing w:before="120" w:after="120" w:line="280" w:lineRule="exact"/>
        <w:ind w:left="1354" w:right="763"/>
        <w:rPr>
          <w:rFonts w:ascii="Arial" w:hAnsi="Arial" w:cs="Arial"/>
        </w:rPr>
      </w:pPr>
      <w:r>
        <w:rPr>
          <w:rFonts w:ascii="Arial" w:hAnsi="Arial" w:cs="Arial"/>
        </w:rPr>
        <w:t>Direct access also means improved customer service and increased reliability of service.</w:t>
      </w:r>
    </w:p>
    <w:p w14:paraId="6B586308" w14:textId="31E704B3" w:rsidR="004A1E48" w:rsidRPr="00795FE9" w:rsidRDefault="004A1E48" w:rsidP="004A1E48">
      <w:pPr>
        <w:pStyle w:val="NoSpacing"/>
        <w:spacing w:before="120" w:after="120" w:line="260" w:lineRule="exact"/>
        <w:ind w:left="1354" w:right="763"/>
        <w:rPr>
          <w:rFonts w:ascii="Arial" w:hAnsi="Arial" w:cs="Arial"/>
        </w:rPr>
      </w:pPr>
    </w:p>
    <w:p w14:paraId="372B752B" w14:textId="04FC3ED2" w:rsidR="004A1E48" w:rsidRPr="004A1E48" w:rsidRDefault="004A1E48" w:rsidP="004A1E48">
      <w:pPr>
        <w:pStyle w:val="Subhead"/>
        <w:numPr>
          <w:ilvl w:val="0"/>
          <w:numId w:val="4"/>
        </w:numPr>
        <w:spacing w:before="120" w:after="120" w:line="240" w:lineRule="exact"/>
        <w:ind w:left="1354"/>
        <w:rPr>
          <w:rFonts w:ascii="Arial" w:hAnsi="Arial" w:cs="Arial"/>
          <w:sz w:val="24"/>
          <w:szCs w:val="24"/>
        </w:rPr>
      </w:pPr>
      <w:r w:rsidRPr="003B45C5">
        <w:rPr>
          <w:rFonts w:ascii="Arial" w:hAnsi="Arial" w:cs="Arial"/>
          <w:sz w:val="24"/>
          <w:szCs w:val="24"/>
        </w:rPr>
        <w:t>Increased jobs and job opportunities</w:t>
      </w:r>
    </w:p>
    <w:p w14:paraId="0038773E" w14:textId="7F4C1049" w:rsidR="004A1E48" w:rsidRDefault="004A1E48" w:rsidP="004A1E48">
      <w:pPr>
        <w:pStyle w:val="NoSpacing"/>
        <w:spacing w:before="120" w:after="120" w:line="280" w:lineRule="exact"/>
        <w:ind w:left="1354" w:right="763"/>
        <w:rPr>
          <w:rFonts w:ascii="Arial" w:hAnsi="Arial" w:cs="Arial"/>
        </w:rPr>
      </w:pPr>
      <w:r w:rsidRPr="004A1E48">
        <w:rPr>
          <w:rFonts w:ascii="Arial" w:hAnsi="Arial" w:cs="Arial"/>
        </w:rPr>
        <w:t>A local power solution is a natural for economic development within our community. It creates local jobs, such as customer service representatives, lineworkers, engineers, mechanics and administrators, and many more</w:t>
      </w:r>
      <w:r>
        <w:rPr>
          <w:rFonts w:ascii="Arial" w:hAnsi="Arial" w:cs="Arial"/>
        </w:rPr>
        <w:t>.</w:t>
      </w:r>
    </w:p>
    <w:p w14:paraId="17DC5860" w14:textId="74E5348B" w:rsidR="004A1E48" w:rsidRPr="004A1E48" w:rsidRDefault="004A1E48" w:rsidP="004A1E48">
      <w:pPr>
        <w:pStyle w:val="NoSpacing"/>
        <w:spacing w:before="120" w:after="120" w:line="260" w:lineRule="exact"/>
        <w:ind w:left="1354" w:right="763"/>
        <w:rPr>
          <w:rFonts w:ascii="Arial" w:hAnsi="Arial" w:cs="Arial"/>
        </w:rPr>
      </w:pPr>
    </w:p>
    <w:p w14:paraId="588A4238" w14:textId="2F8557BF" w:rsidR="004A1E48" w:rsidRPr="004A1E48" w:rsidRDefault="004A1E48" w:rsidP="004A1E48">
      <w:pPr>
        <w:pStyle w:val="Subhead"/>
        <w:numPr>
          <w:ilvl w:val="0"/>
          <w:numId w:val="4"/>
        </w:numPr>
        <w:spacing w:before="120" w:after="120" w:line="240" w:lineRule="exact"/>
        <w:ind w:left="1354"/>
        <w:rPr>
          <w:rFonts w:ascii="Arial" w:hAnsi="Arial" w:cs="Arial"/>
          <w:sz w:val="24"/>
          <w:szCs w:val="24"/>
        </w:rPr>
      </w:pPr>
      <w:r w:rsidRPr="003B45C5">
        <w:rPr>
          <w:rFonts w:ascii="Arial" w:hAnsi="Arial" w:cs="Arial"/>
          <w:sz w:val="24"/>
          <w:szCs w:val="24"/>
        </w:rPr>
        <w:t>Increased reliability of service</w:t>
      </w:r>
    </w:p>
    <w:p w14:paraId="6FADCCA1" w14:textId="363AB225" w:rsidR="004A1E48" w:rsidRDefault="004A1E48" w:rsidP="004A1E48">
      <w:pPr>
        <w:pStyle w:val="NoSpacing"/>
        <w:spacing w:before="120" w:after="120" w:line="280" w:lineRule="exact"/>
        <w:ind w:left="1354" w:right="763"/>
        <w:rPr>
          <w:rFonts w:ascii="Arial" w:hAnsi="Arial" w:cs="Arial"/>
        </w:rPr>
      </w:pPr>
      <w:r w:rsidRPr="004A1E48">
        <w:rPr>
          <w:rFonts w:ascii="Arial" w:hAnsi="Arial" w:cs="Arial"/>
        </w:rPr>
        <w:t>In the near-term and long-term, the focus is on delivering a reliable power supply. The connection is to customers in the community</w:t>
      </w:r>
      <w:r>
        <w:rPr>
          <w:rFonts w:ascii="Arial" w:hAnsi="Arial" w:cs="Arial"/>
        </w:rPr>
        <w:t>.</w:t>
      </w:r>
    </w:p>
    <w:p w14:paraId="5DED72B3" w14:textId="660F57B2" w:rsidR="004A1E48" w:rsidRPr="004A1E48" w:rsidRDefault="004A1E48" w:rsidP="004A1E48">
      <w:pPr>
        <w:pStyle w:val="NoSpacing"/>
        <w:spacing w:before="120" w:after="120" w:line="260" w:lineRule="exact"/>
        <w:ind w:left="1354" w:right="763"/>
        <w:rPr>
          <w:rFonts w:ascii="Arial" w:hAnsi="Arial" w:cs="Arial"/>
        </w:rPr>
      </w:pPr>
    </w:p>
    <w:p w14:paraId="2B58BC5D" w14:textId="61692B47" w:rsidR="004A1E48" w:rsidRPr="004A1E48" w:rsidRDefault="004A1E48" w:rsidP="004A1E48">
      <w:pPr>
        <w:pStyle w:val="Subhead"/>
        <w:numPr>
          <w:ilvl w:val="0"/>
          <w:numId w:val="4"/>
        </w:numPr>
        <w:spacing w:before="120" w:after="120" w:line="240" w:lineRule="exact"/>
        <w:ind w:left="1354"/>
        <w:rPr>
          <w:rFonts w:ascii="Arial" w:hAnsi="Arial" w:cs="Arial"/>
          <w:sz w:val="24"/>
          <w:szCs w:val="24"/>
        </w:rPr>
      </w:pPr>
      <w:r w:rsidRPr="003B45C5">
        <w:rPr>
          <w:rFonts w:ascii="Arial" w:hAnsi="Arial" w:cs="Arial"/>
          <w:sz w:val="24"/>
          <w:szCs w:val="24"/>
        </w:rPr>
        <w:t>Reduction of utility revenue leakage from local economy</w:t>
      </w:r>
    </w:p>
    <w:p w14:paraId="063EFD5A" w14:textId="4FD60434" w:rsidR="004A1E48" w:rsidRPr="004A1E48" w:rsidRDefault="004A1E48" w:rsidP="004A1E48">
      <w:pPr>
        <w:pStyle w:val="NoSpacing"/>
        <w:spacing w:before="120" w:after="120" w:line="280" w:lineRule="exact"/>
        <w:ind w:left="1354" w:right="763"/>
        <w:rPr>
          <w:rFonts w:ascii="Arial" w:hAnsi="Arial" w:cs="Arial"/>
        </w:rPr>
      </w:pPr>
      <w:r w:rsidRPr="004A1E48">
        <w:rPr>
          <w:rFonts w:ascii="Arial" w:hAnsi="Arial" w:cs="Arial"/>
        </w:rPr>
        <w:t xml:space="preserve">Keeping revenues at home </w:t>
      </w:r>
      <w:r>
        <w:rPr>
          <w:rFonts w:ascii="Arial" w:hAnsi="Arial" w:cs="Arial"/>
        </w:rPr>
        <w:t>and for the benefit of local ratepayers.</w:t>
      </w:r>
    </w:p>
    <w:p w14:paraId="398A16B3" w14:textId="7A216EFC" w:rsidR="004A1E48" w:rsidRDefault="004A1E48" w:rsidP="004A1E48"/>
    <w:p w14:paraId="7B137354" w14:textId="4E76B5EE" w:rsidR="004A1E48" w:rsidRPr="004A1E48" w:rsidRDefault="004A1E48" w:rsidP="004A1E48">
      <w:pPr>
        <w:pStyle w:val="NoSpacing"/>
        <w:spacing w:after="240"/>
        <w:ind w:firstLine="630"/>
        <w:rPr>
          <w:rFonts w:ascii="Arial" w:eastAsia="Helvetica" w:hAnsi="Arial" w:cs="Arial"/>
          <w:b/>
          <w:bCs/>
          <w:color w:val="ABAD23"/>
          <w:sz w:val="36"/>
          <w:szCs w:val="36"/>
        </w:rPr>
      </w:pPr>
      <w:r>
        <w:rPr>
          <w:rFonts w:ascii="Arial" w:eastAsia="Helvetica" w:hAnsi="Arial" w:cs="Arial"/>
          <w:b/>
          <w:bCs/>
          <w:color w:val="2F5496" w:themeColor="accent5" w:themeShade="BF"/>
          <w:sz w:val="36"/>
          <w:szCs w:val="36"/>
        </w:rPr>
        <w:t>Exploration Process</w:t>
      </w:r>
    </w:p>
    <w:p w14:paraId="43384081" w14:textId="3007E010" w:rsidR="00046FD5" w:rsidRDefault="00601161" w:rsidP="00601161">
      <w:pPr>
        <w:pStyle w:val="Callout"/>
        <w:spacing w:line="280" w:lineRule="exact"/>
        <w:ind w:left="634" w:right="763"/>
        <w:rPr>
          <w:rFonts w:ascii="Arial" w:hAnsi="Arial" w:cs="Arial"/>
          <w:b w:val="0"/>
          <w:bCs w:val="0"/>
          <w:color w:val="auto"/>
          <w:sz w:val="22"/>
          <w:szCs w:val="22"/>
        </w:rPr>
      </w:pPr>
      <w:r>
        <w:rPr>
          <w:rFonts w:ascii="Arial" w:hAnsi="Arial" w:cs="Arial"/>
          <w:b w:val="0"/>
          <w:bCs w:val="0"/>
          <w:color w:val="auto"/>
          <w:sz w:val="22"/>
          <w:szCs w:val="22"/>
        </w:rPr>
        <w:t>As the next steps are being determined, w</w:t>
      </w:r>
      <w:bookmarkStart w:id="0" w:name="_GoBack"/>
      <w:bookmarkEnd w:id="0"/>
      <w:r>
        <w:rPr>
          <w:rFonts w:ascii="Arial" w:hAnsi="Arial" w:cs="Arial"/>
          <w:b w:val="0"/>
          <w:bCs w:val="0"/>
          <w:color w:val="auto"/>
          <w:sz w:val="22"/>
          <w:szCs w:val="22"/>
        </w:rPr>
        <w:t xml:space="preserve">e will post information and updates on the NID website at nidwater.com. Be sure to sign up for news updates and newsletter while you are there. </w:t>
      </w:r>
    </w:p>
    <w:p w14:paraId="7ACEBB65" w14:textId="77777777" w:rsidR="00601161" w:rsidRDefault="00601161" w:rsidP="00601161">
      <w:pPr>
        <w:pStyle w:val="Callout"/>
        <w:spacing w:line="280" w:lineRule="exact"/>
        <w:ind w:left="634" w:right="763"/>
        <w:rPr>
          <w:sz w:val="21"/>
          <w:szCs w:val="21"/>
        </w:rPr>
      </w:pPr>
    </w:p>
    <w:p w14:paraId="600F6CC1" w14:textId="44258E7D" w:rsidR="003B45C5" w:rsidRDefault="003B45C5" w:rsidP="00662E4F">
      <w:pPr>
        <w:pStyle w:val="NoSpacing"/>
        <w:ind w:left="720"/>
        <w:rPr>
          <w:sz w:val="21"/>
          <w:szCs w:val="21"/>
        </w:rPr>
      </w:pPr>
    </w:p>
    <w:p w14:paraId="4ACC046D" w14:textId="423F85E7" w:rsidR="003B45C5" w:rsidRDefault="003B45C5" w:rsidP="00662E4F">
      <w:pPr>
        <w:pStyle w:val="NoSpacing"/>
        <w:ind w:left="720"/>
        <w:rPr>
          <w:sz w:val="21"/>
          <w:szCs w:val="21"/>
        </w:rPr>
      </w:pPr>
    </w:p>
    <w:p w14:paraId="0567AF6E" w14:textId="77777777" w:rsidR="003B45C5" w:rsidRDefault="003B45C5" w:rsidP="00CA0F12">
      <w:pPr>
        <w:pStyle w:val="NoSpacing"/>
        <w:rPr>
          <w:sz w:val="21"/>
          <w:szCs w:val="21"/>
        </w:rPr>
      </w:pPr>
    </w:p>
    <w:p w14:paraId="75C1C415" w14:textId="77777777" w:rsidR="003B45C5" w:rsidRDefault="003B45C5" w:rsidP="00662E4F">
      <w:pPr>
        <w:pStyle w:val="NoSpacing"/>
        <w:ind w:left="720"/>
        <w:rPr>
          <w:sz w:val="21"/>
          <w:szCs w:val="21"/>
        </w:rPr>
      </w:pPr>
    </w:p>
    <w:p w14:paraId="258C5184" w14:textId="77777777" w:rsidR="003B45C5" w:rsidRDefault="003B45C5" w:rsidP="00662E4F">
      <w:pPr>
        <w:pStyle w:val="NoSpacing"/>
        <w:ind w:left="720"/>
        <w:rPr>
          <w:sz w:val="21"/>
          <w:szCs w:val="21"/>
        </w:rPr>
      </w:pPr>
    </w:p>
    <w:p w14:paraId="13200069" w14:textId="35E512BB" w:rsidR="003B45C5" w:rsidRDefault="003B45C5" w:rsidP="00662E4F">
      <w:pPr>
        <w:pStyle w:val="NoSpacing"/>
        <w:ind w:left="720"/>
        <w:rPr>
          <w:sz w:val="21"/>
          <w:szCs w:val="21"/>
        </w:rPr>
      </w:pPr>
    </w:p>
    <w:p w14:paraId="4DBC6C3F" w14:textId="3B2E5DA7" w:rsidR="003B45C5" w:rsidRDefault="00CA0F12" w:rsidP="00662E4F">
      <w:pPr>
        <w:pStyle w:val="NoSpacing"/>
        <w:ind w:left="720"/>
        <w:rPr>
          <w:sz w:val="21"/>
          <w:szCs w:val="21"/>
        </w:rPr>
      </w:pPr>
      <w:r>
        <w:rPr>
          <w:rFonts w:ascii="Arial" w:hAnsi="Arial" w:cs="Arial"/>
          <w:b/>
          <w:noProof/>
          <w:color w:val="FFFFFF" w:themeColor="background1"/>
          <w:sz w:val="56"/>
          <w:szCs w:val="56"/>
        </w:rPr>
        <w:drawing>
          <wp:anchor distT="0" distB="0" distL="114300" distR="114300" simplePos="0" relativeHeight="251694080" behindDoc="1" locked="0" layoutInCell="1" allowOverlap="1" wp14:anchorId="379B0B9D" wp14:editId="58034049">
            <wp:simplePos x="0" y="0"/>
            <wp:positionH relativeFrom="column">
              <wp:posOffset>5487035</wp:posOffset>
            </wp:positionH>
            <wp:positionV relativeFrom="paragraph">
              <wp:posOffset>146685</wp:posOffset>
            </wp:positionV>
            <wp:extent cx="1691005" cy="721360"/>
            <wp:effectExtent l="0" t="0" r="4445" b="2540"/>
            <wp:wrapTight wrapText="bothSides">
              <wp:wrapPolygon edited="0">
                <wp:start x="2433" y="0"/>
                <wp:lineTo x="0" y="3993"/>
                <wp:lineTo x="0" y="14831"/>
                <wp:lineTo x="730" y="18254"/>
                <wp:lineTo x="2190" y="21106"/>
                <wp:lineTo x="2433" y="21106"/>
                <wp:lineTo x="14113" y="21106"/>
                <wp:lineTo x="18980" y="21106"/>
                <wp:lineTo x="20440" y="20535"/>
                <wp:lineTo x="19953" y="18254"/>
                <wp:lineTo x="21413" y="15401"/>
                <wp:lineTo x="21413" y="11979"/>
                <wp:lineTo x="20440" y="6275"/>
                <wp:lineTo x="17520" y="4563"/>
                <wp:lineTo x="6570" y="0"/>
                <wp:lineTo x="2433"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ID_HORZ_FULL_WHI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1005" cy="721360"/>
                    </a:xfrm>
                    <a:prstGeom prst="rect">
                      <a:avLst/>
                    </a:prstGeom>
                  </pic:spPr>
                </pic:pic>
              </a:graphicData>
            </a:graphic>
          </wp:anchor>
        </w:drawing>
      </w:r>
      <w:r w:rsidR="00795FE9" w:rsidRPr="00A8722A">
        <w:rPr>
          <w:noProof/>
          <w:sz w:val="21"/>
          <w:szCs w:val="21"/>
        </w:rPr>
        <mc:AlternateContent>
          <mc:Choice Requires="wps">
            <w:drawing>
              <wp:anchor distT="0" distB="0" distL="114300" distR="114300" simplePos="0" relativeHeight="251684864" behindDoc="0" locked="0" layoutInCell="1" allowOverlap="1" wp14:anchorId="2B7EA3C2" wp14:editId="3C65E0D6">
                <wp:simplePos x="0" y="0"/>
                <wp:positionH relativeFrom="margin">
                  <wp:posOffset>53340</wp:posOffset>
                </wp:positionH>
                <wp:positionV relativeFrom="paragraph">
                  <wp:posOffset>3810</wp:posOffset>
                </wp:positionV>
                <wp:extent cx="7469505" cy="1000125"/>
                <wp:effectExtent l="0" t="0" r="17145" b="28575"/>
                <wp:wrapNone/>
                <wp:docPr id="22" name="Rectangle 22"/>
                <wp:cNvGraphicFramePr/>
                <a:graphic xmlns:a="http://schemas.openxmlformats.org/drawingml/2006/main">
                  <a:graphicData uri="http://schemas.microsoft.com/office/word/2010/wordprocessingShape">
                    <wps:wsp>
                      <wps:cNvSpPr/>
                      <wps:spPr>
                        <a:xfrm>
                          <a:off x="0" y="0"/>
                          <a:ext cx="7469505" cy="1000125"/>
                        </a:xfrm>
                        <a:prstGeom prst="rect">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1C7858" id="Rectangle 22" o:spid="_x0000_s1026" style="position:absolute;margin-left:4.2pt;margin-top:.3pt;width:588.15pt;height:78.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" fillcolor="#2f5496 [2408]" strokecolor="#1f4d78 [1604]" strokeweight="1pt">
                <w10:wrap anchorx="margin"/>
              </v:rect>
            </w:pict>
          </mc:Fallback>
        </mc:AlternateContent>
      </w:r>
    </w:p>
    <w:p w14:paraId="50919E41" w14:textId="620BE16E" w:rsidR="003B45C5" w:rsidRDefault="00CA0F12" w:rsidP="00662E4F">
      <w:pPr>
        <w:pStyle w:val="NoSpacing"/>
        <w:ind w:left="720"/>
        <w:rPr>
          <w:sz w:val="21"/>
          <w:szCs w:val="21"/>
        </w:rPr>
      </w:pPr>
      <w:r w:rsidRPr="00A8722A">
        <w:rPr>
          <w:noProof/>
          <w:sz w:val="21"/>
          <w:szCs w:val="21"/>
        </w:rPr>
        <mc:AlternateContent>
          <mc:Choice Requires="wps">
            <w:drawing>
              <wp:anchor distT="0" distB="0" distL="114300" distR="114300" simplePos="0" relativeHeight="251685888" behindDoc="0" locked="0" layoutInCell="1" allowOverlap="1" wp14:anchorId="703E18D7" wp14:editId="2B5C4B5F">
                <wp:simplePos x="0" y="0"/>
                <wp:positionH relativeFrom="column">
                  <wp:posOffset>511810</wp:posOffset>
                </wp:positionH>
                <wp:positionV relativeFrom="paragraph">
                  <wp:posOffset>108585</wp:posOffset>
                </wp:positionV>
                <wp:extent cx="5937250" cy="81915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5937250" cy="819150"/>
                        </a:xfrm>
                        <a:prstGeom prst="rect">
                          <a:avLst/>
                        </a:prstGeom>
                        <a:noFill/>
                        <a:ln w="6350">
                          <a:noFill/>
                        </a:ln>
                      </wps:spPr>
                      <wps:txbx>
                        <w:txbxContent>
                          <w:p w14:paraId="31D91A25" w14:textId="77777777" w:rsidR="00A8722A" w:rsidRPr="007A1C53" w:rsidRDefault="00A8722A" w:rsidP="00A8722A">
                            <w:pPr>
                              <w:pStyle w:val="NoSpacing"/>
                              <w:rPr>
                                <w:rFonts w:ascii="Arial" w:hAnsi="Arial" w:cs="Arial"/>
                                <w:color w:val="FFFFFF" w:themeColor="background1"/>
                                <w:sz w:val="24"/>
                                <w:szCs w:val="24"/>
                              </w:rPr>
                            </w:pPr>
                            <w:r>
                              <w:rPr>
                                <w:rFonts w:ascii="Arial" w:hAnsi="Arial" w:cs="Arial"/>
                                <w:color w:val="FFFFFF" w:themeColor="background1"/>
                                <w:sz w:val="20"/>
                                <w:szCs w:val="20"/>
                              </w:rPr>
                              <w:t xml:space="preserve"> </w:t>
                            </w:r>
                            <w:r w:rsidRPr="007A1C53">
                              <w:rPr>
                                <w:rFonts w:ascii="Arial" w:hAnsi="Arial" w:cs="Arial"/>
                                <w:color w:val="FFFFFF" w:themeColor="background1"/>
                                <w:sz w:val="24"/>
                                <w:szCs w:val="24"/>
                              </w:rPr>
                              <w:t>Exploring the possibility</w:t>
                            </w:r>
                          </w:p>
                          <w:p w14:paraId="70CCC18C" w14:textId="7FF3CC7F" w:rsidR="00A8722A" w:rsidRPr="002A2430" w:rsidRDefault="00A8722A" w:rsidP="00A8722A">
                            <w:pPr>
                              <w:pStyle w:val="NoSpacing"/>
                              <w:rPr>
                                <w:rFonts w:ascii="Arial" w:hAnsi="Arial" w:cs="Arial"/>
                                <w:b/>
                                <w:color w:val="FFFFFF" w:themeColor="background1"/>
                                <w:sz w:val="56"/>
                                <w:szCs w:val="56"/>
                              </w:rPr>
                            </w:pPr>
                            <w:r w:rsidRPr="002A2430">
                              <w:rPr>
                                <w:rFonts w:ascii="Arial" w:hAnsi="Arial" w:cs="Arial"/>
                                <w:b/>
                                <w:color w:val="FFFFFF" w:themeColor="background1"/>
                                <w:sz w:val="56"/>
                                <w:szCs w:val="56"/>
                              </w:rPr>
                              <w:t>Local Power</w:t>
                            </w:r>
                            <w:r w:rsidR="00CA0F12">
                              <w:rPr>
                                <w:rFonts w:ascii="Arial" w:hAnsi="Arial" w:cs="Arial"/>
                                <w:b/>
                                <w:color w:val="FFFFFF" w:themeColor="background1"/>
                                <w:sz w:val="56"/>
                                <w:szCs w:val="56"/>
                              </w:rPr>
                              <w:t xml:space="preserve"> </w:t>
                            </w:r>
                            <w:r>
                              <w:rPr>
                                <w:rFonts w:ascii="Arial" w:hAnsi="Arial" w:cs="Arial"/>
                                <w:b/>
                                <w:color w:val="FFFFFF" w:themeColor="background1"/>
                                <w:sz w:val="56"/>
                                <w:szCs w:val="56"/>
                              </w:rPr>
                              <w:t>… In the News</w:t>
                            </w:r>
                          </w:p>
                          <w:p w14:paraId="7A2A1C54" w14:textId="77777777" w:rsidR="00A8722A" w:rsidRPr="00833839" w:rsidRDefault="00A8722A" w:rsidP="00A8722A">
                            <w:pPr>
                              <w:jc w:val="center"/>
                              <w:rPr>
                                <w:rFonts w:ascii="Trebuchet MS" w:hAnsi="Trebuchet MS" w:cs="Arial"/>
                                <w:color w:val="FFFFFF" w:themeColor="background1"/>
                                <w:sz w:val="40"/>
                                <w:szCs w:val="40"/>
                              </w:rPr>
                            </w:pPr>
                          </w:p>
                          <w:p w14:paraId="3C8DC81D" w14:textId="77777777" w:rsidR="00A8722A" w:rsidRDefault="00A8722A" w:rsidP="00A8722A">
                            <w:pPr>
                              <w:rPr>
                                <w:rFonts w:ascii="Arial" w:hAnsi="Arial" w:cs="Arial"/>
                                <w:color w:val="FFFFFF" w:themeColor="background1"/>
                                <w:sz w:val="20"/>
                                <w:szCs w:val="20"/>
                              </w:rPr>
                            </w:pPr>
                          </w:p>
                          <w:p w14:paraId="2642D548" w14:textId="77777777" w:rsidR="00A8722A" w:rsidRPr="00046FD5" w:rsidRDefault="00A8722A" w:rsidP="00A8722A">
                            <w:pPr>
                              <w:rPr>
                                <w:rFonts w:ascii="Arial" w:hAnsi="Arial" w:cs="Arial"/>
                                <w:color w:val="FFFFFF" w:themeColor="background1"/>
                                <w:sz w:val="20"/>
                                <w:szCs w:val="20"/>
                              </w:rPr>
                            </w:pPr>
                            <w:r>
                              <w:rPr>
                                <w:rFonts w:ascii="Arial" w:hAnsi="Arial" w:cs="Arial"/>
                                <w:color w:val="FFFFFF" w:themeColor="background1"/>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3E18D7" id="Text Box 23" o:spid="_x0000_s1027" type="#_x0000_t202" style="position:absolute;left:0;text-align:left;margin-left:40.3pt;margin-top:8.55pt;width:467.5pt;height:6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" filled="f" stroked="f" strokeweight=".5pt">
                <v:textbox>
                  <w:txbxContent>
                    <w:p w14:paraId="31D91A25" w14:textId="77777777" w:rsidR="00A8722A" w:rsidRPr="007A1C53" w:rsidRDefault="00A8722A" w:rsidP="00A8722A">
                      <w:pPr>
                        <w:pStyle w:val="NoSpacing"/>
                        <w:rPr>
                          <w:rFonts w:ascii="Arial" w:hAnsi="Arial" w:cs="Arial"/>
                          <w:color w:val="FFFFFF" w:themeColor="background1"/>
                          <w:sz w:val="24"/>
                          <w:szCs w:val="24"/>
                        </w:rPr>
                      </w:pPr>
                      <w:r>
                        <w:rPr>
                          <w:rFonts w:ascii="Arial" w:hAnsi="Arial" w:cs="Arial"/>
                          <w:color w:val="FFFFFF" w:themeColor="background1"/>
                          <w:sz w:val="20"/>
                          <w:szCs w:val="20"/>
                        </w:rPr>
                        <w:t xml:space="preserve"> </w:t>
                      </w:r>
                      <w:r w:rsidRPr="007A1C53">
                        <w:rPr>
                          <w:rFonts w:ascii="Arial" w:hAnsi="Arial" w:cs="Arial"/>
                          <w:color w:val="FFFFFF" w:themeColor="background1"/>
                          <w:sz w:val="24"/>
                          <w:szCs w:val="24"/>
                        </w:rPr>
                        <w:t>Exploring the possibility</w:t>
                      </w:r>
                    </w:p>
                    <w:p w14:paraId="70CCC18C" w14:textId="7FF3CC7F" w:rsidR="00A8722A" w:rsidRPr="002A2430" w:rsidRDefault="00A8722A" w:rsidP="00A8722A">
                      <w:pPr>
                        <w:pStyle w:val="NoSpacing"/>
                        <w:rPr>
                          <w:rFonts w:ascii="Arial" w:hAnsi="Arial" w:cs="Arial"/>
                          <w:b/>
                          <w:color w:val="FFFFFF" w:themeColor="background1"/>
                          <w:sz w:val="56"/>
                          <w:szCs w:val="56"/>
                        </w:rPr>
                      </w:pPr>
                      <w:r w:rsidRPr="002A2430">
                        <w:rPr>
                          <w:rFonts w:ascii="Arial" w:hAnsi="Arial" w:cs="Arial"/>
                          <w:b/>
                          <w:color w:val="FFFFFF" w:themeColor="background1"/>
                          <w:sz w:val="56"/>
                          <w:szCs w:val="56"/>
                        </w:rPr>
                        <w:t>Local Power</w:t>
                      </w:r>
                      <w:r w:rsidR="00CA0F12">
                        <w:rPr>
                          <w:rFonts w:ascii="Arial" w:hAnsi="Arial" w:cs="Arial"/>
                          <w:b/>
                          <w:color w:val="FFFFFF" w:themeColor="background1"/>
                          <w:sz w:val="56"/>
                          <w:szCs w:val="56"/>
                        </w:rPr>
                        <w:t xml:space="preserve"> </w:t>
                      </w:r>
                      <w:r>
                        <w:rPr>
                          <w:rFonts w:ascii="Arial" w:hAnsi="Arial" w:cs="Arial"/>
                          <w:b/>
                          <w:color w:val="FFFFFF" w:themeColor="background1"/>
                          <w:sz w:val="56"/>
                          <w:szCs w:val="56"/>
                        </w:rPr>
                        <w:t>… In the News</w:t>
                      </w:r>
                    </w:p>
                    <w:p w14:paraId="7A2A1C54" w14:textId="77777777" w:rsidR="00A8722A" w:rsidRPr="00833839" w:rsidRDefault="00A8722A" w:rsidP="00A8722A">
                      <w:pPr>
                        <w:jc w:val="center"/>
                        <w:rPr>
                          <w:rFonts w:ascii="Trebuchet MS" w:hAnsi="Trebuchet MS" w:cs="Arial"/>
                          <w:color w:val="FFFFFF" w:themeColor="background1"/>
                          <w:sz w:val="40"/>
                          <w:szCs w:val="40"/>
                        </w:rPr>
                      </w:pPr>
                    </w:p>
                    <w:p w14:paraId="3C8DC81D" w14:textId="77777777" w:rsidR="00A8722A" w:rsidRDefault="00A8722A" w:rsidP="00A8722A">
                      <w:pPr>
                        <w:rPr>
                          <w:rFonts w:ascii="Arial" w:hAnsi="Arial" w:cs="Arial"/>
                          <w:color w:val="FFFFFF" w:themeColor="background1"/>
                          <w:sz w:val="20"/>
                          <w:szCs w:val="20"/>
                        </w:rPr>
                      </w:pPr>
                    </w:p>
                    <w:p w14:paraId="2642D548" w14:textId="77777777" w:rsidR="00A8722A" w:rsidRPr="00046FD5" w:rsidRDefault="00A8722A" w:rsidP="00A8722A">
                      <w:pPr>
                        <w:rPr>
                          <w:rFonts w:ascii="Arial" w:hAnsi="Arial" w:cs="Arial"/>
                          <w:color w:val="FFFFFF" w:themeColor="background1"/>
                          <w:sz w:val="20"/>
                          <w:szCs w:val="20"/>
                        </w:rPr>
                      </w:pPr>
                      <w:r>
                        <w:rPr>
                          <w:rFonts w:ascii="Arial" w:hAnsi="Arial" w:cs="Arial"/>
                          <w:color w:val="FFFFFF" w:themeColor="background1"/>
                          <w:sz w:val="20"/>
                          <w:szCs w:val="20"/>
                        </w:rPr>
                        <w:t xml:space="preserve">                                                                     </w:t>
                      </w:r>
                    </w:p>
                  </w:txbxContent>
                </v:textbox>
              </v:shape>
            </w:pict>
          </mc:Fallback>
        </mc:AlternateContent>
      </w:r>
    </w:p>
    <w:p w14:paraId="7D70F6A1" w14:textId="36A11410" w:rsidR="003B45C5" w:rsidRPr="00822C1C" w:rsidRDefault="005825EB" w:rsidP="00662E4F">
      <w:pPr>
        <w:pStyle w:val="NoSpacing"/>
        <w:ind w:left="720"/>
        <w:rPr>
          <w:sz w:val="21"/>
          <w:szCs w:val="21"/>
        </w:rPr>
      </w:pPr>
      <w:r>
        <w:rPr>
          <w:noProof/>
          <w:sz w:val="21"/>
          <w:szCs w:val="21"/>
        </w:rPr>
        <mc:AlternateContent>
          <mc:Choice Requires="wps">
            <w:drawing>
              <wp:anchor distT="0" distB="0" distL="114300" distR="114300" simplePos="0" relativeHeight="251682816" behindDoc="0" locked="0" layoutInCell="1" allowOverlap="1" wp14:anchorId="1234CE1A" wp14:editId="0ED38507">
                <wp:simplePos x="0" y="0"/>
                <wp:positionH relativeFrom="column">
                  <wp:posOffset>513165</wp:posOffset>
                </wp:positionH>
                <wp:positionV relativeFrom="paragraph">
                  <wp:posOffset>925603</wp:posOffset>
                </wp:positionV>
                <wp:extent cx="6523630" cy="715327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523630" cy="7153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76C1AF" w14:textId="77777777" w:rsidR="00A8722A" w:rsidRPr="00CA0F12" w:rsidRDefault="00A8722A" w:rsidP="00CA0F12">
                            <w:pPr>
                              <w:pStyle w:val="NoSpacing"/>
                              <w:spacing w:after="120"/>
                              <w:rPr>
                                <w:rFonts w:ascii="Arial" w:eastAsia="Times New Roman" w:hAnsi="Arial" w:cs="Arial"/>
                                <w:b/>
                                <w:bCs/>
                                <w:color w:val="222222"/>
                                <w:sz w:val="20"/>
                                <w:szCs w:val="20"/>
                                <w:lang w:val="en"/>
                              </w:rPr>
                            </w:pPr>
                            <w:r w:rsidRPr="00CA0F12">
                              <w:rPr>
                                <w:rFonts w:ascii="Arial" w:eastAsia="Times New Roman" w:hAnsi="Arial" w:cs="Arial"/>
                                <w:b/>
                                <w:bCs/>
                                <w:color w:val="222222"/>
                                <w:sz w:val="20"/>
                                <w:szCs w:val="20"/>
                                <w:lang w:val="en"/>
                              </w:rPr>
                              <w:t xml:space="preserve">Sacramento Bee: Time to leave PG&amp;E? Some Sacramento-area cities and counties explore ‘public power’ </w:t>
                            </w:r>
                          </w:p>
                          <w:p w14:paraId="6CF131C2" w14:textId="77777777" w:rsidR="00A8722A" w:rsidRPr="00CA0F12" w:rsidRDefault="00A8722A" w:rsidP="00CA0F12">
                            <w:pPr>
                              <w:pStyle w:val="NoSpacing"/>
                              <w:spacing w:after="120"/>
                              <w:rPr>
                                <w:rFonts w:ascii="Arial" w:hAnsi="Arial" w:cs="Arial"/>
                                <w:sz w:val="20"/>
                                <w:szCs w:val="20"/>
                              </w:rPr>
                            </w:pPr>
                            <w:r w:rsidRPr="00CA0F12">
                              <w:rPr>
                                <w:rFonts w:ascii="Arial" w:eastAsia="Times New Roman" w:hAnsi="Arial" w:cs="Arial"/>
                                <w:color w:val="222222"/>
                                <w:sz w:val="20"/>
                                <w:szCs w:val="20"/>
                                <w:lang w:val="en"/>
                              </w:rPr>
                              <w:t>The mayor of Rocklin has called for a study into whether the foothill suburb could gain control of PG&amp;E’s infrastructure. The city of Lincoln is looking into the possibility of tapping into either Roseville Electric Utility or SMUD in Sacramento, both of which are locally controlled.</w:t>
                            </w:r>
                            <w:r w:rsidRPr="00CA0F12">
                              <w:rPr>
                                <w:rFonts w:ascii="Arial" w:hAnsi="Arial" w:cs="Arial"/>
                                <w:sz w:val="20"/>
                                <w:szCs w:val="20"/>
                              </w:rPr>
                              <w:t xml:space="preserve"> </w:t>
                            </w:r>
                            <w:hyperlink r:id="rId9" w:history="1">
                              <w:r w:rsidRPr="00CA0F12">
                                <w:rPr>
                                  <w:rStyle w:val="Hyperlink"/>
                                  <w:rFonts w:ascii="Arial" w:hAnsi="Arial" w:cs="Arial"/>
                                  <w:sz w:val="20"/>
                                  <w:szCs w:val="20"/>
                                </w:rPr>
                                <w:t>https://www.sacbee.com/news/local/article236407448.html</w:t>
                              </w:r>
                            </w:hyperlink>
                          </w:p>
                          <w:p w14:paraId="7C0EE1D9" w14:textId="77777777" w:rsidR="00A8722A" w:rsidRPr="00CA0F12" w:rsidRDefault="00A8722A" w:rsidP="00CA0F12">
                            <w:pPr>
                              <w:pStyle w:val="NoSpacing"/>
                              <w:spacing w:after="120"/>
                              <w:rPr>
                                <w:rFonts w:ascii="Arial" w:eastAsia="Times New Roman" w:hAnsi="Arial" w:cs="Arial"/>
                                <w:color w:val="222222"/>
                                <w:sz w:val="20"/>
                                <w:szCs w:val="20"/>
                                <w:lang w:val="en"/>
                              </w:rPr>
                            </w:pPr>
                          </w:p>
                          <w:p w14:paraId="61FB4421" w14:textId="77777777" w:rsidR="00A8722A" w:rsidRPr="00CA0F12" w:rsidRDefault="00A8722A" w:rsidP="00CA0F12">
                            <w:pPr>
                              <w:pStyle w:val="NoSpacing"/>
                              <w:spacing w:after="120"/>
                              <w:rPr>
                                <w:rFonts w:ascii="Arial" w:hAnsi="Arial" w:cs="Arial"/>
                                <w:b/>
                                <w:sz w:val="20"/>
                                <w:szCs w:val="20"/>
                              </w:rPr>
                            </w:pPr>
                            <w:r w:rsidRPr="00CA0F12">
                              <w:rPr>
                                <w:rFonts w:ascii="Arial" w:hAnsi="Arial" w:cs="Arial"/>
                                <w:b/>
                                <w:sz w:val="20"/>
                                <w:szCs w:val="20"/>
                              </w:rPr>
                              <w:t>San Francisco CBS Local: San Francisco Offers $2.5 Billion to Buy PG&amp;E Electricity Infrastructure</w:t>
                            </w:r>
                          </w:p>
                          <w:p w14:paraId="7F71A164" w14:textId="77777777" w:rsidR="00A8722A" w:rsidRPr="00CA0F12" w:rsidRDefault="00A8722A" w:rsidP="00CA0F12">
                            <w:pPr>
                              <w:pStyle w:val="NoSpacing"/>
                              <w:spacing w:after="120"/>
                              <w:rPr>
                                <w:rFonts w:ascii="Arial" w:hAnsi="Arial" w:cs="Arial"/>
                                <w:sz w:val="20"/>
                                <w:szCs w:val="20"/>
                              </w:rPr>
                            </w:pPr>
                            <w:r w:rsidRPr="00CA0F12">
                              <w:rPr>
                                <w:rFonts w:ascii="Arial" w:hAnsi="Arial" w:cs="Arial"/>
                                <w:sz w:val="20"/>
                                <w:szCs w:val="20"/>
                              </w:rPr>
                              <w:t>In an effort to create a city-run electric utility in San Francisco, mayor London Breed and city attorney Dennis Herrera issued a statement Sunday outlining an offer to pay $2.5 billion to acquire Pacific Gas and Electric Co. power infrastructure serving the city.</w:t>
                            </w:r>
                          </w:p>
                          <w:p w14:paraId="45497FC0" w14:textId="77777777" w:rsidR="00A8722A" w:rsidRPr="00CA0F12" w:rsidRDefault="00601161" w:rsidP="00CA0F12">
                            <w:pPr>
                              <w:pStyle w:val="NoSpacing"/>
                              <w:spacing w:after="120"/>
                              <w:rPr>
                                <w:rFonts w:ascii="Arial" w:eastAsia="Times New Roman" w:hAnsi="Arial" w:cs="Arial"/>
                                <w:color w:val="222222"/>
                                <w:sz w:val="20"/>
                                <w:szCs w:val="20"/>
                                <w:lang w:val="en"/>
                              </w:rPr>
                            </w:pPr>
                            <w:hyperlink r:id="rId10" w:history="1">
                              <w:r w:rsidR="00A8722A" w:rsidRPr="00CA0F12">
                                <w:rPr>
                                  <w:rStyle w:val="Hyperlink"/>
                                  <w:rFonts w:ascii="Arial" w:eastAsia="Times New Roman" w:hAnsi="Arial" w:cs="Arial"/>
                                  <w:sz w:val="20"/>
                                  <w:szCs w:val="20"/>
                                  <w:lang w:val="en"/>
                                </w:rPr>
                                <w:t>https://sanfrancisco.cbslocal.com/2019/09/08/san-francisco-offers-billions-buy-pge-electric-infrastructure/</w:t>
                              </w:r>
                            </w:hyperlink>
                          </w:p>
                          <w:p w14:paraId="2FB6BD7F" w14:textId="77777777" w:rsidR="00A8722A" w:rsidRPr="00CA0F12" w:rsidRDefault="00A8722A" w:rsidP="00CA0F12">
                            <w:pPr>
                              <w:pStyle w:val="NoSpacing"/>
                              <w:spacing w:after="120"/>
                              <w:rPr>
                                <w:rFonts w:ascii="Arial" w:hAnsi="Arial" w:cs="Arial"/>
                                <w:sz w:val="20"/>
                                <w:szCs w:val="20"/>
                              </w:rPr>
                            </w:pPr>
                          </w:p>
                          <w:p w14:paraId="10907553" w14:textId="77777777" w:rsidR="00A8722A" w:rsidRPr="00CA0F12" w:rsidRDefault="00A8722A" w:rsidP="00CA0F12">
                            <w:pPr>
                              <w:pStyle w:val="NoSpacing"/>
                              <w:spacing w:after="120"/>
                              <w:rPr>
                                <w:rStyle w:val="dfm-title"/>
                                <w:rFonts w:ascii="Arial" w:hAnsi="Arial" w:cs="Arial"/>
                                <w:b/>
                                <w:bCs/>
                                <w:spacing w:val="-7"/>
                                <w:kern w:val="36"/>
                                <w:sz w:val="20"/>
                                <w:szCs w:val="20"/>
                              </w:rPr>
                            </w:pPr>
                            <w:r w:rsidRPr="00CA0F12">
                              <w:rPr>
                                <w:rStyle w:val="dfm-title"/>
                                <w:rFonts w:ascii="Arial" w:hAnsi="Arial" w:cs="Arial"/>
                                <w:b/>
                                <w:bCs/>
                                <w:spacing w:val="-7"/>
                                <w:kern w:val="36"/>
                                <w:sz w:val="20"/>
                                <w:szCs w:val="20"/>
                              </w:rPr>
                              <w:t>Daily Democrat: Yolo County’s Valley Clean Energy makes bid for PG&amp;E distribution assets</w:t>
                            </w:r>
                          </w:p>
                          <w:p w14:paraId="10F1AFDF" w14:textId="77777777" w:rsidR="00A8722A" w:rsidRPr="00CA0F12" w:rsidRDefault="00A8722A" w:rsidP="00CA0F12">
                            <w:pPr>
                              <w:pStyle w:val="NoSpacing"/>
                              <w:spacing w:after="120"/>
                              <w:rPr>
                                <w:rFonts w:ascii="Arial" w:hAnsi="Arial" w:cs="Arial"/>
                                <w:spacing w:val="-2"/>
                                <w:sz w:val="20"/>
                                <w:szCs w:val="20"/>
                              </w:rPr>
                            </w:pPr>
                            <w:r w:rsidRPr="00CA0F12">
                              <w:rPr>
                                <w:rFonts w:ascii="Arial" w:hAnsi="Arial" w:cs="Arial"/>
                                <w:spacing w:val="-2"/>
                                <w:sz w:val="20"/>
                                <w:szCs w:val="20"/>
                              </w:rPr>
                              <w:t>Yolo County’s community power agency is making a $300 million bid to buy Pacific Gas &amp; Electric’s line, poles and other distribution assets.  Valley Clean Energy’s board of directors announced its efforts to acquire the bankrupt utility’s infrastructure within Yolo County believing it would provide a more efficient “and safe electrical system.”</w:t>
                            </w:r>
                          </w:p>
                          <w:p w14:paraId="22F4B2C3" w14:textId="77777777" w:rsidR="00A8722A" w:rsidRPr="00CA0F12" w:rsidRDefault="00601161" w:rsidP="00CA0F12">
                            <w:pPr>
                              <w:pStyle w:val="NoSpacing"/>
                              <w:spacing w:after="120"/>
                              <w:rPr>
                                <w:rFonts w:ascii="Arial" w:eastAsia="Times New Roman" w:hAnsi="Arial" w:cs="Arial"/>
                                <w:color w:val="222222"/>
                                <w:sz w:val="20"/>
                                <w:szCs w:val="20"/>
                                <w:lang w:val="en"/>
                              </w:rPr>
                            </w:pPr>
                            <w:hyperlink r:id="rId11" w:history="1">
                              <w:r w:rsidR="00A8722A" w:rsidRPr="00CA0F12">
                                <w:rPr>
                                  <w:rStyle w:val="Hyperlink"/>
                                  <w:rFonts w:ascii="Arial" w:eastAsia="Times New Roman" w:hAnsi="Arial" w:cs="Arial"/>
                                  <w:sz w:val="20"/>
                                  <w:szCs w:val="20"/>
                                  <w:lang w:val="en"/>
                                </w:rPr>
                                <w:t>https://www.dailydemocrat.com/2019/10/19/yolo-countys-valley-clean-energy-makes-bid-for-pge-distribution-assets/</w:t>
                              </w:r>
                            </w:hyperlink>
                          </w:p>
                          <w:p w14:paraId="207AB7E3" w14:textId="77777777" w:rsidR="00A8722A" w:rsidRPr="00CA0F12" w:rsidRDefault="00A8722A" w:rsidP="00CA0F12">
                            <w:pPr>
                              <w:pStyle w:val="NoSpacing"/>
                              <w:spacing w:after="120"/>
                              <w:rPr>
                                <w:rFonts w:ascii="Arial" w:hAnsi="Arial" w:cs="Arial"/>
                                <w:spacing w:val="-2"/>
                                <w:sz w:val="20"/>
                                <w:szCs w:val="20"/>
                              </w:rPr>
                            </w:pPr>
                          </w:p>
                          <w:p w14:paraId="1EED3929" w14:textId="77777777" w:rsidR="00A8722A" w:rsidRPr="00CA0F12" w:rsidRDefault="00A8722A" w:rsidP="00CA0F12">
                            <w:pPr>
                              <w:pStyle w:val="NoSpacing"/>
                              <w:spacing w:after="120"/>
                              <w:rPr>
                                <w:rFonts w:ascii="Arial" w:hAnsi="Arial" w:cs="Arial"/>
                                <w:b/>
                                <w:color w:val="0A0A0A"/>
                                <w:sz w:val="20"/>
                                <w:szCs w:val="20"/>
                              </w:rPr>
                            </w:pPr>
                            <w:r w:rsidRPr="00CA0F12">
                              <w:rPr>
                                <w:rFonts w:ascii="Arial" w:hAnsi="Arial" w:cs="Arial"/>
                                <w:b/>
                                <w:color w:val="0A0A0A"/>
                                <w:sz w:val="20"/>
                                <w:szCs w:val="20"/>
                              </w:rPr>
                              <w:t>Manteca Bulletin: SSJID RENEWS $116M PG&amp;E OFFER</w:t>
                            </w:r>
                          </w:p>
                          <w:p w14:paraId="0DB6AE7E" w14:textId="77777777" w:rsidR="00A8722A" w:rsidRPr="00CA0F12" w:rsidRDefault="00A8722A" w:rsidP="00CA0F12">
                            <w:pPr>
                              <w:pStyle w:val="NoSpacing"/>
                              <w:spacing w:after="120"/>
                              <w:rPr>
                                <w:rStyle w:val="dfm-title"/>
                                <w:rFonts w:ascii="Arial" w:hAnsi="Arial" w:cs="Arial"/>
                                <w:bCs/>
                                <w:spacing w:val="-7"/>
                                <w:kern w:val="36"/>
                                <w:sz w:val="20"/>
                                <w:szCs w:val="20"/>
                              </w:rPr>
                            </w:pPr>
                            <w:r w:rsidRPr="00CA0F12">
                              <w:rPr>
                                <w:rFonts w:ascii="Arial" w:hAnsi="Arial" w:cs="Arial"/>
                                <w:color w:val="0A0A0A"/>
                                <w:sz w:val="20"/>
                                <w:szCs w:val="20"/>
                              </w:rPr>
                              <w:t xml:space="preserve">The $116 million offer — similar to one PG&amp;E rejected in 2016 — </w:t>
                            </w:r>
                            <w:proofErr w:type="gramStart"/>
                            <w:r w:rsidRPr="00CA0F12">
                              <w:rPr>
                                <w:rFonts w:ascii="Arial" w:hAnsi="Arial" w:cs="Arial"/>
                                <w:color w:val="0A0A0A"/>
                                <w:sz w:val="20"/>
                                <w:szCs w:val="20"/>
                              </w:rPr>
                              <w:t>was revalidated</w:t>
                            </w:r>
                            <w:proofErr w:type="gramEnd"/>
                            <w:r w:rsidRPr="00CA0F12">
                              <w:rPr>
                                <w:rFonts w:ascii="Arial" w:hAnsi="Arial" w:cs="Arial"/>
                                <w:color w:val="0A0A0A"/>
                                <w:sz w:val="20"/>
                                <w:szCs w:val="20"/>
                              </w:rPr>
                              <w:t xml:space="preserve"> recently by an independent electrical system appraiser who determined it still represents fair market value for assets that are now three years older.</w:t>
                            </w:r>
                            <w:r w:rsidRPr="00CA0F12">
                              <w:rPr>
                                <w:rFonts w:ascii="Arial" w:hAnsi="Arial" w:cs="Arial"/>
                                <w:sz w:val="20"/>
                                <w:szCs w:val="20"/>
                              </w:rPr>
                              <w:t xml:space="preserve"> </w:t>
                            </w:r>
                            <w:hyperlink r:id="rId12" w:history="1">
                              <w:r w:rsidRPr="00CA0F12">
                                <w:rPr>
                                  <w:rStyle w:val="Hyperlink"/>
                                  <w:rFonts w:ascii="Arial" w:hAnsi="Arial" w:cs="Arial"/>
                                  <w:bCs/>
                                  <w:spacing w:val="-7"/>
                                  <w:kern w:val="36"/>
                                  <w:sz w:val="20"/>
                                  <w:szCs w:val="20"/>
                                </w:rPr>
                                <w:t>https://www.mantecabulletin.com/news/local-news/ssjid-renews-116m-pge-offer/</w:t>
                              </w:r>
                            </w:hyperlink>
                          </w:p>
                          <w:p w14:paraId="3450CE06" w14:textId="77777777" w:rsidR="00A8722A" w:rsidRPr="00CA0F12" w:rsidRDefault="00A8722A" w:rsidP="00CA0F12">
                            <w:pPr>
                              <w:pStyle w:val="NoSpacing"/>
                              <w:spacing w:after="120"/>
                              <w:rPr>
                                <w:rFonts w:ascii="Arial" w:hAnsi="Arial" w:cs="Arial"/>
                                <w:color w:val="0A0A0A"/>
                                <w:sz w:val="20"/>
                                <w:szCs w:val="20"/>
                              </w:rPr>
                            </w:pPr>
                          </w:p>
                          <w:p w14:paraId="1AFC8324" w14:textId="77777777" w:rsidR="00A8722A" w:rsidRPr="00CA0F12" w:rsidRDefault="00A8722A" w:rsidP="00CA0F12">
                            <w:pPr>
                              <w:pStyle w:val="NoSpacing"/>
                              <w:spacing w:after="120"/>
                              <w:rPr>
                                <w:rFonts w:ascii="Arial" w:hAnsi="Arial" w:cs="Arial"/>
                                <w:b/>
                                <w:color w:val="333333"/>
                                <w:sz w:val="20"/>
                                <w:szCs w:val="20"/>
                                <w:bdr w:val="none" w:sz="0" w:space="0" w:color="auto" w:frame="1"/>
                                <w:lang w:val="en"/>
                              </w:rPr>
                            </w:pPr>
                            <w:r w:rsidRPr="00CA0F12">
                              <w:rPr>
                                <w:rFonts w:ascii="Arial" w:hAnsi="Arial" w:cs="Arial"/>
                                <w:b/>
                                <w:bCs/>
                                <w:color w:val="111111"/>
                                <w:sz w:val="20"/>
                                <w:szCs w:val="20"/>
                                <w:bdr w:val="none" w:sz="0" w:space="0" w:color="auto" w:frame="1"/>
                                <w:lang w:val="en"/>
                              </w:rPr>
                              <w:t xml:space="preserve">Assembly Bill No. 1054, </w:t>
                            </w:r>
                            <w:r w:rsidRPr="00CA0F12">
                              <w:rPr>
                                <w:rFonts w:ascii="Arial" w:hAnsi="Arial" w:cs="Arial"/>
                                <w:b/>
                                <w:color w:val="333333"/>
                                <w:sz w:val="20"/>
                                <w:szCs w:val="20"/>
                                <w:bdr w:val="none" w:sz="0" w:space="0" w:color="auto" w:frame="1"/>
                                <w:lang w:val="en"/>
                              </w:rPr>
                              <w:t>Holden: Public utilities: wildfires and employee protection.</w:t>
                            </w:r>
                          </w:p>
                          <w:p w14:paraId="643FB014" w14:textId="77777777" w:rsidR="00A8722A" w:rsidRPr="00CA0F12" w:rsidRDefault="00A8722A" w:rsidP="00CA0F12">
                            <w:pPr>
                              <w:pStyle w:val="NoSpacing"/>
                              <w:spacing w:after="120"/>
                              <w:rPr>
                                <w:rFonts w:ascii="Arial" w:hAnsi="Arial" w:cs="Arial"/>
                                <w:sz w:val="20"/>
                                <w:szCs w:val="20"/>
                              </w:rPr>
                            </w:pPr>
                            <w:r w:rsidRPr="00CA0F12">
                              <w:rPr>
                                <w:rFonts w:ascii="Arial" w:hAnsi="Arial" w:cs="Arial"/>
                                <w:color w:val="333333"/>
                                <w:sz w:val="20"/>
                                <w:szCs w:val="20"/>
                                <w:bdr w:val="none" w:sz="0" w:space="0" w:color="auto" w:frame="1"/>
                                <w:lang w:val="en"/>
                              </w:rPr>
                              <w:t>This bill would establish the California Wildfire Safety Advisory Board consisting of 7 members appointed by the Governor, Speaker of the Assembly, and Senate Committee on Rules, as provided, who would serve 4-year staggered terms. The bill would require the board, among other actions, to advise and make recommendations related to wildfire safety to the Wildfire Safety Division or, on and after July 1, 2021, the Office of Energy Infrastructure Safety, as established pursuant to AB 111 or SB 111 of the 2019–20 Regular Session.</w:t>
                            </w:r>
                            <w:r w:rsidRPr="00CA0F12">
                              <w:rPr>
                                <w:rFonts w:ascii="Arial" w:hAnsi="Arial" w:cs="Arial"/>
                                <w:sz w:val="20"/>
                                <w:szCs w:val="20"/>
                              </w:rPr>
                              <w:t xml:space="preserve"> </w:t>
                            </w:r>
                            <w:hyperlink r:id="rId13" w:history="1">
                              <w:r w:rsidRPr="00CA0F12">
                                <w:rPr>
                                  <w:rStyle w:val="Hyperlink"/>
                                  <w:rFonts w:ascii="Arial" w:hAnsi="Arial" w:cs="Arial"/>
                                  <w:sz w:val="20"/>
                                  <w:szCs w:val="20"/>
                                </w:rPr>
                                <w:t>https://leginfo.legislature.ca.gov/faces/billNavClient.xhtml?bill_id=201920200AB1054</w:t>
                              </w:r>
                            </w:hyperlink>
                          </w:p>
                          <w:p w14:paraId="7A52CB59" w14:textId="77777777" w:rsidR="00A8722A" w:rsidRPr="00CA0F12" w:rsidRDefault="00A8722A" w:rsidP="00CA0F12">
                            <w:pPr>
                              <w:pStyle w:val="NoSpacing"/>
                              <w:spacing w:after="120"/>
                              <w:rPr>
                                <w:rFonts w:ascii="Arial" w:hAnsi="Arial" w:cs="Arial"/>
                                <w:color w:val="333333"/>
                                <w:sz w:val="20"/>
                                <w:szCs w:val="20"/>
                                <w:bdr w:val="none" w:sz="0" w:space="0" w:color="auto" w:frame="1"/>
                                <w:lang w:val="en"/>
                              </w:rPr>
                            </w:pPr>
                          </w:p>
                          <w:p w14:paraId="55501E9A" w14:textId="77777777" w:rsidR="00A8722A" w:rsidRPr="00CA0F12" w:rsidRDefault="00A8722A" w:rsidP="00CA0F12">
                            <w:pPr>
                              <w:pStyle w:val="NoSpacing"/>
                              <w:spacing w:after="120"/>
                              <w:rPr>
                                <w:rFonts w:ascii="Arial" w:hAnsi="Arial" w:cs="Arial"/>
                                <w:b/>
                                <w:bCs/>
                                <w:color w:val="333333"/>
                                <w:sz w:val="20"/>
                                <w:szCs w:val="20"/>
                                <w:lang w:val="en"/>
                              </w:rPr>
                            </w:pPr>
                            <w:r w:rsidRPr="00CA0F12">
                              <w:rPr>
                                <w:rFonts w:ascii="Arial" w:hAnsi="Arial" w:cs="Arial"/>
                                <w:b/>
                                <w:bCs/>
                                <w:color w:val="111111"/>
                                <w:sz w:val="20"/>
                                <w:szCs w:val="20"/>
                                <w:bdr w:val="none" w:sz="0" w:space="0" w:color="auto" w:frame="1"/>
                                <w:lang w:val="en"/>
                              </w:rPr>
                              <w:t>Assembly Bill No. 235</w:t>
                            </w:r>
                            <w:r w:rsidRPr="00CA0F12">
                              <w:rPr>
                                <w:rFonts w:ascii="Arial" w:hAnsi="Arial" w:cs="Arial"/>
                                <w:b/>
                                <w:color w:val="333333"/>
                                <w:sz w:val="20"/>
                                <w:szCs w:val="20"/>
                                <w:bdr w:val="none" w:sz="0" w:space="0" w:color="auto" w:frame="1"/>
                                <w:lang w:val="en"/>
                              </w:rPr>
                              <w:t xml:space="preserve">, as amended, Mayes. </w:t>
                            </w:r>
                            <w:r w:rsidRPr="00CA0F12">
                              <w:rPr>
                                <w:rFonts w:ascii="Arial" w:hAnsi="Arial" w:cs="Arial"/>
                                <w:b/>
                                <w:bCs/>
                                <w:color w:val="333333"/>
                                <w:sz w:val="20"/>
                                <w:szCs w:val="20"/>
                                <w:lang w:val="en"/>
                              </w:rPr>
                              <w:t>Electrical corporations: wildfire victim recovery bonds</w:t>
                            </w:r>
                          </w:p>
                          <w:p w14:paraId="7DB2CACA" w14:textId="77777777" w:rsidR="00A8722A" w:rsidRPr="00CA0F12" w:rsidRDefault="00A8722A" w:rsidP="00CA0F12">
                            <w:pPr>
                              <w:pStyle w:val="NoSpacing"/>
                              <w:spacing w:after="120"/>
                              <w:rPr>
                                <w:rFonts w:ascii="Arial" w:hAnsi="Arial" w:cs="Arial"/>
                                <w:sz w:val="20"/>
                                <w:szCs w:val="20"/>
                              </w:rPr>
                            </w:pPr>
                            <w:r w:rsidRPr="00CA0F12">
                              <w:rPr>
                                <w:rFonts w:ascii="Arial" w:hAnsi="Arial" w:cs="Arial"/>
                                <w:iCs/>
                                <w:sz w:val="20"/>
                                <w:szCs w:val="20"/>
                                <w:bdr w:val="none" w:sz="0" w:space="0" w:color="auto" w:frame="1"/>
                                <w:lang w:val="en"/>
                              </w:rPr>
                              <w:t>This bill would, under specific circumstances, authorize the commission, upon application by an electrical corporation, to issue financing orders to support the issuance of wildfire victim recovery bonds by an electrical corporation or other financing entity to finance wildfire recovery costs, as provided. The bill would authorize the California Infrastructure and Economic Development Bank to act as a financing entity for these purposes, for wildfire victim recovery bonds totaling not more than $20,000,000,000 at any one time. The bill would require the commission to enforce the provisions of a financing order against any financing entity, including a public financing entity, to the extent permitted by law, and for those purposes would authorize the commission to exercise all authority granted the commission with respect to a public utility by the California Constitution and the Public Utilities Act.</w:t>
                            </w:r>
                            <w:r w:rsidR="00795FE9" w:rsidRPr="00CA0F12">
                              <w:rPr>
                                <w:rFonts w:ascii="Arial" w:hAnsi="Arial" w:cs="Arial"/>
                                <w:iCs/>
                                <w:sz w:val="20"/>
                                <w:szCs w:val="20"/>
                                <w:bdr w:val="none" w:sz="0" w:space="0" w:color="auto" w:frame="1"/>
                                <w:lang w:val="en"/>
                              </w:rPr>
                              <w:t xml:space="preserve"> </w:t>
                            </w:r>
                            <w:hyperlink r:id="rId14" w:history="1">
                              <w:r w:rsidRPr="00CA0F12">
                                <w:rPr>
                                  <w:rStyle w:val="Hyperlink"/>
                                  <w:rFonts w:ascii="Arial" w:hAnsi="Arial" w:cs="Arial"/>
                                  <w:sz w:val="20"/>
                                  <w:szCs w:val="20"/>
                                </w:rPr>
                                <w:t>https://leginfo.legislature.ca.gov/faces/billTextClient.xhtml?bill_id=201920200AB235&amp;search_keywords=surity+bond</w:t>
                              </w:r>
                            </w:hyperlink>
                          </w:p>
                          <w:p w14:paraId="4F1AA736" w14:textId="77777777" w:rsidR="00A8722A" w:rsidRPr="005825EB" w:rsidRDefault="00A8722A">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34CE1A" id="Text Box 21" o:spid="_x0000_s1028" type="#_x0000_t202" style="position:absolute;left:0;text-align:left;margin-left:40.4pt;margin-top:72.9pt;width:513.65pt;height:56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" filled="f" stroked="f" strokeweight=".5pt">
                <v:textbox>
                  <w:txbxContent>
                    <w:p w14:paraId="3E76C1AF" w14:textId="77777777" w:rsidR="00A8722A" w:rsidRPr="00CA0F12" w:rsidRDefault="00A8722A" w:rsidP="00CA0F12">
                      <w:pPr>
                        <w:pStyle w:val="NoSpacing"/>
                        <w:spacing w:after="120"/>
                        <w:rPr>
                          <w:rFonts w:ascii="Arial" w:eastAsia="Times New Roman" w:hAnsi="Arial" w:cs="Arial"/>
                          <w:b/>
                          <w:bCs/>
                          <w:color w:val="222222"/>
                          <w:sz w:val="20"/>
                          <w:szCs w:val="20"/>
                          <w:lang w:val="en"/>
                        </w:rPr>
                      </w:pPr>
                      <w:r w:rsidRPr="00CA0F12">
                        <w:rPr>
                          <w:rFonts w:ascii="Arial" w:eastAsia="Times New Roman" w:hAnsi="Arial" w:cs="Arial"/>
                          <w:b/>
                          <w:bCs/>
                          <w:color w:val="222222"/>
                          <w:sz w:val="20"/>
                          <w:szCs w:val="20"/>
                          <w:lang w:val="en"/>
                        </w:rPr>
                        <w:t xml:space="preserve">Sacramento Bee: Time to leave PG&amp;E? Some Sacramento-area cities and counties explore ‘public power’ </w:t>
                      </w:r>
                    </w:p>
                    <w:p w14:paraId="6CF131C2" w14:textId="77777777" w:rsidR="00A8722A" w:rsidRPr="00CA0F12" w:rsidRDefault="00A8722A" w:rsidP="00CA0F12">
                      <w:pPr>
                        <w:pStyle w:val="NoSpacing"/>
                        <w:spacing w:after="120"/>
                        <w:rPr>
                          <w:rFonts w:ascii="Arial" w:hAnsi="Arial" w:cs="Arial"/>
                          <w:sz w:val="20"/>
                          <w:szCs w:val="20"/>
                        </w:rPr>
                      </w:pPr>
                      <w:r w:rsidRPr="00CA0F12">
                        <w:rPr>
                          <w:rFonts w:ascii="Arial" w:eastAsia="Times New Roman" w:hAnsi="Arial" w:cs="Arial"/>
                          <w:color w:val="222222"/>
                          <w:sz w:val="20"/>
                          <w:szCs w:val="20"/>
                          <w:lang w:val="en"/>
                        </w:rPr>
                        <w:t>The mayor of Rocklin has called for a study into whether the foothill suburb could gain control of PG&amp;E’s infrastructure. The city of Lincoln is looking into the possibility of tapping into either Roseville Electric Utility or SMUD in Sacramento, both of which are locally controlled.</w:t>
                      </w:r>
                      <w:r w:rsidRPr="00CA0F12">
                        <w:rPr>
                          <w:rFonts w:ascii="Arial" w:hAnsi="Arial" w:cs="Arial"/>
                          <w:sz w:val="20"/>
                          <w:szCs w:val="20"/>
                        </w:rPr>
                        <w:t xml:space="preserve"> </w:t>
                      </w:r>
                      <w:hyperlink r:id="rId15" w:history="1">
                        <w:r w:rsidRPr="00CA0F12">
                          <w:rPr>
                            <w:rStyle w:val="Hyperlink"/>
                            <w:rFonts w:ascii="Arial" w:hAnsi="Arial" w:cs="Arial"/>
                            <w:sz w:val="20"/>
                            <w:szCs w:val="20"/>
                          </w:rPr>
                          <w:t>https://www.sacbee.com/news/local/article236407448.html</w:t>
                        </w:r>
                      </w:hyperlink>
                    </w:p>
                    <w:p w14:paraId="7C0EE1D9" w14:textId="77777777" w:rsidR="00A8722A" w:rsidRPr="00CA0F12" w:rsidRDefault="00A8722A" w:rsidP="00CA0F12">
                      <w:pPr>
                        <w:pStyle w:val="NoSpacing"/>
                        <w:spacing w:after="120"/>
                        <w:rPr>
                          <w:rFonts w:ascii="Arial" w:eastAsia="Times New Roman" w:hAnsi="Arial" w:cs="Arial"/>
                          <w:color w:val="222222"/>
                          <w:sz w:val="20"/>
                          <w:szCs w:val="20"/>
                          <w:lang w:val="en"/>
                        </w:rPr>
                      </w:pPr>
                    </w:p>
                    <w:p w14:paraId="61FB4421" w14:textId="77777777" w:rsidR="00A8722A" w:rsidRPr="00CA0F12" w:rsidRDefault="00A8722A" w:rsidP="00CA0F12">
                      <w:pPr>
                        <w:pStyle w:val="NoSpacing"/>
                        <w:spacing w:after="120"/>
                        <w:rPr>
                          <w:rFonts w:ascii="Arial" w:hAnsi="Arial" w:cs="Arial"/>
                          <w:b/>
                          <w:sz w:val="20"/>
                          <w:szCs w:val="20"/>
                        </w:rPr>
                      </w:pPr>
                      <w:r w:rsidRPr="00CA0F12">
                        <w:rPr>
                          <w:rFonts w:ascii="Arial" w:hAnsi="Arial" w:cs="Arial"/>
                          <w:b/>
                          <w:sz w:val="20"/>
                          <w:szCs w:val="20"/>
                        </w:rPr>
                        <w:t>San Francisco CBS Local: San Francisco Offers $2.5 Billion to Buy PG&amp;E Electricity Infrastructure</w:t>
                      </w:r>
                    </w:p>
                    <w:p w14:paraId="7F71A164" w14:textId="77777777" w:rsidR="00A8722A" w:rsidRPr="00CA0F12" w:rsidRDefault="00A8722A" w:rsidP="00CA0F12">
                      <w:pPr>
                        <w:pStyle w:val="NoSpacing"/>
                        <w:spacing w:after="120"/>
                        <w:rPr>
                          <w:rFonts w:ascii="Arial" w:hAnsi="Arial" w:cs="Arial"/>
                          <w:sz w:val="20"/>
                          <w:szCs w:val="20"/>
                        </w:rPr>
                      </w:pPr>
                      <w:r w:rsidRPr="00CA0F12">
                        <w:rPr>
                          <w:rFonts w:ascii="Arial" w:hAnsi="Arial" w:cs="Arial"/>
                          <w:sz w:val="20"/>
                          <w:szCs w:val="20"/>
                        </w:rPr>
                        <w:t>In an effort to create a city-run electric utility in San Francisco, mayor London Breed and city attorney Dennis Herrera issued a statement Sunday outlining an offer to pay $2.5 billion to acquire Pacific Gas and Electric Co. power infrastructure serving the city.</w:t>
                      </w:r>
                    </w:p>
                    <w:p w14:paraId="45497FC0" w14:textId="77777777" w:rsidR="00A8722A" w:rsidRPr="00CA0F12" w:rsidRDefault="00CA0F12" w:rsidP="00CA0F12">
                      <w:pPr>
                        <w:pStyle w:val="NoSpacing"/>
                        <w:spacing w:after="120"/>
                        <w:rPr>
                          <w:rFonts w:ascii="Arial" w:eastAsia="Times New Roman" w:hAnsi="Arial" w:cs="Arial"/>
                          <w:color w:val="222222"/>
                          <w:sz w:val="20"/>
                          <w:szCs w:val="20"/>
                          <w:lang w:val="en"/>
                        </w:rPr>
                      </w:pPr>
                      <w:hyperlink r:id="rId16" w:history="1">
                        <w:r w:rsidR="00A8722A" w:rsidRPr="00CA0F12">
                          <w:rPr>
                            <w:rStyle w:val="Hyperlink"/>
                            <w:rFonts w:ascii="Arial" w:eastAsia="Times New Roman" w:hAnsi="Arial" w:cs="Arial"/>
                            <w:sz w:val="20"/>
                            <w:szCs w:val="20"/>
                            <w:lang w:val="en"/>
                          </w:rPr>
                          <w:t>https://sanfrancisco.cbslocal.com/2019/09/08/san-francisco-offers-billions-buy-pge-electric-infrastructure/</w:t>
                        </w:r>
                      </w:hyperlink>
                    </w:p>
                    <w:p w14:paraId="2FB6BD7F" w14:textId="77777777" w:rsidR="00A8722A" w:rsidRPr="00CA0F12" w:rsidRDefault="00A8722A" w:rsidP="00CA0F12">
                      <w:pPr>
                        <w:pStyle w:val="NoSpacing"/>
                        <w:spacing w:after="120"/>
                        <w:rPr>
                          <w:rFonts w:ascii="Arial" w:hAnsi="Arial" w:cs="Arial"/>
                          <w:sz w:val="20"/>
                          <w:szCs w:val="20"/>
                        </w:rPr>
                      </w:pPr>
                    </w:p>
                    <w:p w14:paraId="10907553" w14:textId="77777777" w:rsidR="00A8722A" w:rsidRPr="00CA0F12" w:rsidRDefault="00A8722A" w:rsidP="00CA0F12">
                      <w:pPr>
                        <w:pStyle w:val="NoSpacing"/>
                        <w:spacing w:after="120"/>
                        <w:rPr>
                          <w:rStyle w:val="dfm-title"/>
                          <w:rFonts w:ascii="Arial" w:hAnsi="Arial" w:cs="Arial"/>
                          <w:b/>
                          <w:bCs/>
                          <w:spacing w:val="-7"/>
                          <w:kern w:val="36"/>
                          <w:sz w:val="20"/>
                          <w:szCs w:val="20"/>
                        </w:rPr>
                      </w:pPr>
                      <w:r w:rsidRPr="00CA0F12">
                        <w:rPr>
                          <w:rStyle w:val="dfm-title"/>
                          <w:rFonts w:ascii="Arial" w:hAnsi="Arial" w:cs="Arial"/>
                          <w:b/>
                          <w:bCs/>
                          <w:spacing w:val="-7"/>
                          <w:kern w:val="36"/>
                          <w:sz w:val="20"/>
                          <w:szCs w:val="20"/>
                        </w:rPr>
                        <w:t>Daily Democrat: Yolo County’s Valley Clean Energy makes bid for PG&amp;E distribution assets</w:t>
                      </w:r>
                    </w:p>
                    <w:p w14:paraId="10F1AFDF" w14:textId="77777777" w:rsidR="00A8722A" w:rsidRPr="00CA0F12" w:rsidRDefault="00A8722A" w:rsidP="00CA0F12">
                      <w:pPr>
                        <w:pStyle w:val="NoSpacing"/>
                        <w:spacing w:after="120"/>
                        <w:rPr>
                          <w:rFonts w:ascii="Arial" w:hAnsi="Arial" w:cs="Arial"/>
                          <w:spacing w:val="-2"/>
                          <w:sz w:val="20"/>
                          <w:szCs w:val="20"/>
                        </w:rPr>
                      </w:pPr>
                      <w:r w:rsidRPr="00CA0F12">
                        <w:rPr>
                          <w:rFonts w:ascii="Arial" w:hAnsi="Arial" w:cs="Arial"/>
                          <w:spacing w:val="-2"/>
                          <w:sz w:val="20"/>
                          <w:szCs w:val="20"/>
                        </w:rPr>
                        <w:t>Yolo County’s community power agency is making a $300 million bid to buy Pacific Gas &amp; Electric’s line, poles and other distribution assets.  Valley Clean Energy’s board of directors announced its efforts to acquire the bankrupt utility’s infrastructure within Yolo County believing it would provide a more efficient “and safe electrical system.”</w:t>
                      </w:r>
                    </w:p>
                    <w:p w14:paraId="22F4B2C3" w14:textId="77777777" w:rsidR="00A8722A" w:rsidRPr="00CA0F12" w:rsidRDefault="00CA0F12" w:rsidP="00CA0F12">
                      <w:pPr>
                        <w:pStyle w:val="NoSpacing"/>
                        <w:spacing w:after="120"/>
                        <w:rPr>
                          <w:rFonts w:ascii="Arial" w:eastAsia="Times New Roman" w:hAnsi="Arial" w:cs="Arial"/>
                          <w:color w:val="222222"/>
                          <w:sz w:val="20"/>
                          <w:szCs w:val="20"/>
                          <w:lang w:val="en"/>
                        </w:rPr>
                      </w:pPr>
                      <w:hyperlink r:id="rId17" w:history="1">
                        <w:r w:rsidR="00A8722A" w:rsidRPr="00CA0F12">
                          <w:rPr>
                            <w:rStyle w:val="Hyperlink"/>
                            <w:rFonts w:ascii="Arial" w:eastAsia="Times New Roman" w:hAnsi="Arial" w:cs="Arial"/>
                            <w:sz w:val="20"/>
                            <w:szCs w:val="20"/>
                            <w:lang w:val="en"/>
                          </w:rPr>
                          <w:t>https://www.dailydemocrat.com/2019/10/19/yolo-countys-valley-clean-energy-makes-bid-for-pge-distribution-assets/</w:t>
                        </w:r>
                      </w:hyperlink>
                    </w:p>
                    <w:p w14:paraId="207AB7E3" w14:textId="77777777" w:rsidR="00A8722A" w:rsidRPr="00CA0F12" w:rsidRDefault="00A8722A" w:rsidP="00CA0F12">
                      <w:pPr>
                        <w:pStyle w:val="NoSpacing"/>
                        <w:spacing w:after="120"/>
                        <w:rPr>
                          <w:rFonts w:ascii="Arial" w:hAnsi="Arial" w:cs="Arial"/>
                          <w:spacing w:val="-2"/>
                          <w:sz w:val="20"/>
                          <w:szCs w:val="20"/>
                        </w:rPr>
                      </w:pPr>
                    </w:p>
                    <w:p w14:paraId="1EED3929" w14:textId="77777777" w:rsidR="00A8722A" w:rsidRPr="00CA0F12" w:rsidRDefault="00A8722A" w:rsidP="00CA0F12">
                      <w:pPr>
                        <w:pStyle w:val="NoSpacing"/>
                        <w:spacing w:after="120"/>
                        <w:rPr>
                          <w:rFonts w:ascii="Arial" w:hAnsi="Arial" w:cs="Arial"/>
                          <w:b/>
                          <w:color w:val="0A0A0A"/>
                          <w:sz w:val="20"/>
                          <w:szCs w:val="20"/>
                        </w:rPr>
                      </w:pPr>
                      <w:r w:rsidRPr="00CA0F12">
                        <w:rPr>
                          <w:rFonts w:ascii="Arial" w:hAnsi="Arial" w:cs="Arial"/>
                          <w:b/>
                          <w:color w:val="0A0A0A"/>
                          <w:sz w:val="20"/>
                          <w:szCs w:val="20"/>
                        </w:rPr>
                        <w:t>Manteca Bulletin: SSJID RENEWS $116M PG&amp;E OFFER</w:t>
                      </w:r>
                    </w:p>
                    <w:p w14:paraId="0DB6AE7E" w14:textId="77777777" w:rsidR="00A8722A" w:rsidRPr="00CA0F12" w:rsidRDefault="00A8722A" w:rsidP="00CA0F12">
                      <w:pPr>
                        <w:pStyle w:val="NoSpacing"/>
                        <w:spacing w:after="120"/>
                        <w:rPr>
                          <w:rStyle w:val="dfm-title"/>
                          <w:rFonts w:ascii="Arial" w:hAnsi="Arial" w:cs="Arial"/>
                          <w:bCs/>
                          <w:spacing w:val="-7"/>
                          <w:kern w:val="36"/>
                          <w:sz w:val="20"/>
                          <w:szCs w:val="20"/>
                        </w:rPr>
                      </w:pPr>
                      <w:r w:rsidRPr="00CA0F12">
                        <w:rPr>
                          <w:rFonts w:ascii="Arial" w:hAnsi="Arial" w:cs="Arial"/>
                          <w:color w:val="0A0A0A"/>
                          <w:sz w:val="20"/>
                          <w:szCs w:val="20"/>
                        </w:rPr>
                        <w:t xml:space="preserve">The $116 million offer — </w:t>
                      </w:r>
                      <w:proofErr w:type="gramStart"/>
                      <w:r w:rsidRPr="00CA0F12">
                        <w:rPr>
                          <w:rFonts w:ascii="Arial" w:hAnsi="Arial" w:cs="Arial"/>
                          <w:color w:val="0A0A0A"/>
                          <w:sz w:val="20"/>
                          <w:szCs w:val="20"/>
                        </w:rPr>
                        <w:t>similar to</w:t>
                      </w:r>
                      <w:proofErr w:type="gramEnd"/>
                      <w:r w:rsidRPr="00CA0F12">
                        <w:rPr>
                          <w:rFonts w:ascii="Arial" w:hAnsi="Arial" w:cs="Arial"/>
                          <w:color w:val="0A0A0A"/>
                          <w:sz w:val="20"/>
                          <w:szCs w:val="20"/>
                        </w:rPr>
                        <w:t xml:space="preserve"> one PG&amp;E rejected in 2016 — was revalidated recently by an independent electrical system appraiser who determined it still represents fair market value for assets that are now three years older.</w:t>
                      </w:r>
                      <w:r w:rsidRPr="00CA0F12">
                        <w:rPr>
                          <w:rFonts w:ascii="Arial" w:hAnsi="Arial" w:cs="Arial"/>
                          <w:sz w:val="20"/>
                          <w:szCs w:val="20"/>
                        </w:rPr>
                        <w:t xml:space="preserve"> </w:t>
                      </w:r>
                      <w:hyperlink r:id="rId18" w:history="1">
                        <w:r w:rsidRPr="00CA0F12">
                          <w:rPr>
                            <w:rStyle w:val="Hyperlink"/>
                            <w:rFonts w:ascii="Arial" w:hAnsi="Arial" w:cs="Arial"/>
                            <w:bCs/>
                            <w:spacing w:val="-7"/>
                            <w:kern w:val="36"/>
                            <w:sz w:val="20"/>
                            <w:szCs w:val="20"/>
                          </w:rPr>
                          <w:t>https://www.mantecabulletin.com/news/local-news/ssjid-renews-116m-pge-offer/</w:t>
                        </w:r>
                      </w:hyperlink>
                    </w:p>
                    <w:p w14:paraId="3450CE06" w14:textId="77777777" w:rsidR="00A8722A" w:rsidRPr="00CA0F12" w:rsidRDefault="00A8722A" w:rsidP="00CA0F12">
                      <w:pPr>
                        <w:pStyle w:val="NoSpacing"/>
                        <w:spacing w:after="120"/>
                        <w:rPr>
                          <w:rFonts w:ascii="Arial" w:hAnsi="Arial" w:cs="Arial"/>
                          <w:color w:val="0A0A0A"/>
                          <w:sz w:val="20"/>
                          <w:szCs w:val="20"/>
                        </w:rPr>
                      </w:pPr>
                    </w:p>
                    <w:p w14:paraId="1AFC8324" w14:textId="77777777" w:rsidR="00A8722A" w:rsidRPr="00CA0F12" w:rsidRDefault="00A8722A" w:rsidP="00CA0F12">
                      <w:pPr>
                        <w:pStyle w:val="NoSpacing"/>
                        <w:spacing w:after="120"/>
                        <w:rPr>
                          <w:rFonts w:ascii="Arial" w:hAnsi="Arial" w:cs="Arial"/>
                          <w:b/>
                          <w:color w:val="333333"/>
                          <w:sz w:val="20"/>
                          <w:szCs w:val="20"/>
                          <w:bdr w:val="none" w:sz="0" w:space="0" w:color="auto" w:frame="1"/>
                          <w:lang w:val="en"/>
                        </w:rPr>
                      </w:pPr>
                      <w:r w:rsidRPr="00CA0F12">
                        <w:rPr>
                          <w:rFonts w:ascii="Arial" w:hAnsi="Arial" w:cs="Arial"/>
                          <w:b/>
                          <w:bCs/>
                          <w:color w:val="111111"/>
                          <w:sz w:val="20"/>
                          <w:szCs w:val="20"/>
                          <w:bdr w:val="none" w:sz="0" w:space="0" w:color="auto" w:frame="1"/>
                          <w:lang w:val="en"/>
                        </w:rPr>
                        <w:t xml:space="preserve">Assembly Bill No. 1054, </w:t>
                      </w:r>
                      <w:r w:rsidRPr="00CA0F12">
                        <w:rPr>
                          <w:rFonts w:ascii="Arial" w:hAnsi="Arial" w:cs="Arial"/>
                          <w:b/>
                          <w:color w:val="333333"/>
                          <w:sz w:val="20"/>
                          <w:szCs w:val="20"/>
                          <w:bdr w:val="none" w:sz="0" w:space="0" w:color="auto" w:frame="1"/>
                          <w:lang w:val="en"/>
                        </w:rPr>
                        <w:t>Holden: Public utilities: wildfires and employee protection.</w:t>
                      </w:r>
                    </w:p>
                    <w:p w14:paraId="643FB014" w14:textId="77777777" w:rsidR="00A8722A" w:rsidRPr="00CA0F12" w:rsidRDefault="00A8722A" w:rsidP="00CA0F12">
                      <w:pPr>
                        <w:pStyle w:val="NoSpacing"/>
                        <w:spacing w:after="120"/>
                        <w:rPr>
                          <w:rFonts w:ascii="Arial" w:hAnsi="Arial" w:cs="Arial"/>
                          <w:sz w:val="20"/>
                          <w:szCs w:val="20"/>
                        </w:rPr>
                      </w:pPr>
                      <w:r w:rsidRPr="00CA0F12">
                        <w:rPr>
                          <w:rFonts w:ascii="Arial" w:hAnsi="Arial" w:cs="Arial"/>
                          <w:color w:val="333333"/>
                          <w:sz w:val="20"/>
                          <w:szCs w:val="20"/>
                          <w:bdr w:val="none" w:sz="0" w:space="0" w:color="auto" w:frame="1"/>
                          <w:lang w:val="en"/>
                        </w:rPr>
                        <w:t>This bill would establish the California Wildfire Safety Advisory Board consisting of 7 members appointed by the Governor, Speaker of the Assembly, and Senate Committee on Rules, as provided, who would serve 4-year staggered terms. The bill would require the board, among other actions, to advise and make recommendations related to wildfire safety to the Wildfire Safety Division or, on and after July 1, 2021, the Office of Energy Infrastructure Safety, as established pursuant to AB 111 or SB 111 of the 2019–20 Regular Session.</w:t>
                      </w:r>
                      <w:r w:rsidRPr="00CA0F12">
                        <w:rPr>
                          <w:rFonts w:ascii="Arial" w:hAnsi="Arial" w:cs="Arial"/>
                          <w:sz w:val="20"/>
                          <w:szCs w:val="20"/>
                        </w:rPr>
                        <w:t xml:space="preserve"> </w:t>
                      </w:r>
                      <w:hyperlink r:id="rId19" w:history="1">
                        <w:r w:rsidRPr="00CA0F12">
                          <w:rPr>
                            <w:rStyle w:val="Hyperlink"/>
                            <w:rFonts w:ascii="Arial" w:hAnsi="Arial" w:cs="Arial"/>
                            <w:sz w:val="20"/>
                            <w:szCs w:val="20"/>
                          </w:rPr>
                          <w:t>https://leginfo.legislature.ca.gov/faces/billNavClient.xhtml?bill_id=201920200AB1054</w:t>
                        </w:r>
                      </w:hyperlink>
                    </w:p>
                    <w:p w14:paraId="7A52CB59" w14:textId="77777777" w:rsidR="00A8722A" w:rsidRPr="00CA0F12" w:rsidRDefault="00A8722A" w:rsidP="00CA0F12">
                      <w:pPr>
                        <w:pStyle w:val="NoSpacing"/>
                        <w:spacing w:after="120"/>
                        <w:rPr>
                          <w:rFonts w:ascii="Arial" w:hAnsi="Arial" w:cs="Arial"/>
                          <w:color w:val="333333"/>
                          <w:sz w:val="20"/>
                          <w:szCs w:val="20"/>
                          <w:bdr w:val="none" w:sz="0" w:space="0" w:color="auto" w:frame="1"/>
                          <w:lang w:val="en"/>
                        </w:rPr>
                      </w:pPr>
                    </w:p>
                    <w:p w14:paraId="55501E9A" w14:textId="77777777" w:rsidR="00A8722A" w:rsidRPr="00CA0F12" w:rsidRDefault="00A8722A" w:rsidP="00CA0F12">
                      <w:pPr>
                        <w:pStyle w:val="NoSpacing"/>
                        <w:spacing w:after="120"/>
                        <w:rPr>
                          <w:rFonts w:ascii="Arial" w:hAnsi="Arial" w:cs="Arial"/>
                          <w:b/>
                          <w:bCs/>
                          <w:color w:val="333333"/>
                          <w:sz w:val="20"/>
                          <w:szCs w:val="20"/>
                          <w:lang w:val="en"/>
                        </w:rPr>
                      </w:pPr>
                      <w:r w:rsidRPr="00CA0F12">
                        <w:rPr>
                          <w:rFonts w:ascii="Arial" w:hAnsi="Arial" w:cs="Arial"/>
                          <w:b/>
                          <w:bCs/>
                          <w:color w:val="111111"/>
                          <w:sz w:val="20"/>
                          <w:szCs w:val="20"/>
                          <w:bdr w:val="none" w:sz="0" w:space="0" w:color="auto" w:frame="1"/>
                          <w:lang w:val="en"/>
                        </w:rPr>
                        <w:t>Assembly Bill No. 235</w:t>
                      </w:r>
                      <w:r w:rsidRPr="00CA0F12">
                        <w:rPr>
                          <w:rFonts w:ascii="Arial" w:hAnsi="Arial" w:cs="Arial"/>
                          <w:b/>
                          <w:color w:val="333333"/>
                          <w:sz w:val="20"/>
                          <w:szCs w:val="20"/>
                          <w:bdr w:val="none" w:sz="0" w:space="0" w:color="auto" w:frame="1"/>
                          <w:lang w:val="en"/>
                        </w:rPr>
                        <w:t xml:space="preserve">, as amended, Mayes. </w:t>
                      </w:r>
                      <w:r w:rsidRPr="00CA0F12">
                        <w:rPr>
                          <w:rFonts w:ascii="Arial" w:hAnsi="Arial" w:cs="Arial"/>
                          <w:b/>
                          <w:bCs/>
                          <w:color w:val="333333"/>
                          <w:sz w:val="20"/>
                          <w:szCs w:val="20"/>
                          <w:lang w:val="en"/>
                        </w:rPr>
                        <w:t>Electrical corporations: wildfire victim recovery bonds</w:t>
                      </w:r>
                    </w:p>
                    <w:p w14:paraId="7DB2CACA" w14:textId="77777777" w:rsidR="00A8722A" w:rsidRPr="00CA0F12" w:rsidRDefault="00A8722A" w:rsidP="00CA0F12">
                      <w:pPr>
                        <w:pStyle w:val="NoSpacing"/>
                        <w:spacing w:after="120"/>
                        <w:rPr>
                          <w:rFonts w:ascii="Arial" w:hAnsi="Arial" w:cs="Arial"/>
                          <w:sz w:val="20"/>
                          <w:szCs w:val="20"/>
                        </w:rPr>
                      </w:pPr>
                      <w:r w:rsidRPr="00CA0F12">
                        <w:rPr>
                          <w:rFonts w:ascii="Arial" w:hAnsi="Arial" w:cs="Arial"/>
                          <w:iCs/>
                          <w:sz w:val="20"/>
                          <w:szCs w:val="20"/>
                          <w:bdr w:val="none" w:sz="0" w:space="0" w:color="auto" w:frame="1"/>
                          <w:lang w:val="en"/>
                        </w:rPr>
                        <w:t>This bill would, under specific circumstances, authorize the commission, upon application by an electrical corporation, to issue financing orders to support the issuance of wildfire victim recovery bonds by an electrical corporation or other financing entity to finance wildfire recovery costs, as provided. The bill would authorize the California Infrastructure and Economic Development Bank to act as a financing entity for these purposes, for wildfire victim recovery bonds totaling not more than $20,000,000,000 at any one time. The bill would require the commission to enforce the provisions of a financing order against any financing entity, including a public financing entity, to the extent permitted by law, and for those purposes would authorize the commission to exercise all authority granted the commission with respect to a public utility by the California Constitution and the Public Utilities Act.</w:t>
                      </w:r>
                      <w:r w:rsidR="00795FE9" w:rsidRPr="00CA0F12">
                        <w:rPr>
                          <w:rFonts w:ascii="Arial" w:hAnsi="Arial" w:cs="Arial"/>
                          <w:iCs/>
                          <w:sz w:val="20"/>
                          <w:szCs w:val="20"/>
                          <w:bdr w:val="none" w:sz="0" w:space="0" w:color="auto" w:frame="1"/>
                          <w:lang w:val="en"/>
                        </w:rPr>
                        <w:t xml:space="preserve"> </w:t>
                      </w:r>
                      <w:hyperlink r:id="rId20" w:history="1">
                        <w:r w:rsidRPr="00CA0F12">
                          <w:rPr>
                            <w:rStyle w:val="Hyperlink"/>
                            <w:rFonts w:ascii="Arial" w:hAnsi="Arial" w:cs="Arial"/>
                            <w:sz w:val="20"/>
                            <w:szCs w:val="20"/>
                          </w:rPr>
                          <w:t>https://leginfo.legislature.ca.gov/faces/billTextClient.xhtml?bill_id=201920200AB235&amp;search_keywords=surity+bond</w:t>
                        </w:r>
                      </w:hyperlink>
                    </w:p>
                    <w:p w14:paraId="4F1AA736" w14:textId="77777777" w:rsidR="00A8722A" w:rsidRPr="005825EB" w:rsidRDefault="00A8722A">
                      <w:pPr>
                        <w:rPr>
                          <w:sz w:val="20"/>
                          <w:szCs w:val="20"/>
                        </w:rPr>
                      </w:pPr>
                    </w:p>
                  </w:txbxContent>
                </v:textbox>
              </v:shape>
            </w:pict>
          </mc:Fallback>
        </mc:AlternateContent>
      </w:r>
    </w:p>
    <w:sectPr w:rsidR="003B45C5" w:rsidRPr="00822C1C" w:rsidSect="00046FD5">
      <w:pgSz w:w="12240" w:h="15840"/>
      <w:pgMar w:top="245" w:right="245" w:bottom="245" w:left="24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lvetica Light">
    <w:altName w:val="Malgun Gothic"/>
    <w:charset w:val="00"/>
    <w:family w:val="swiss"/>
    <w:pitch w:val="variable"/>
    <w:sig w:usb0="00000003" w:usb1="4000204A"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A08E5"/>
    <w:multiLevelType w:val="hybridMultilevel"/>
    <w:tmpl w:val="EA28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4A27C8"/>
    <w:multiLevelType w:val="hybridMultilevel"/>
    <w:tmpl w:val="B63A4810"/>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41E655CF"/>
    <w:multiLevelType w:val="hybridMultilevel"/>
    <w:tmpl w:val="BB9A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887E25"/>
    <w:multiLevelType w:val="hybridMultilevel"/>
    <w:tmpl w:val="5B16E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FD5"/>
    <w:rsid w:val="00046FD5"/>
    <w:rsid w:val="00066670"/>
    <w:rsid w:val="00091AC2"/>
    <w:rsid w:val="000C7CB9"/>
    <w:rsid w:val="000F5DE4"/>
    <w:rsid w:val="00171749"/>
    <w:rsid w:val="0021686E"/>
    <w:rsid w:val="002A2430"/>
    <w:rsid w:val="00383CCF"/>
    <w:rsid w:val="00387329"/>
    <w:rsid w:val="003B45C5"/>
    <w:rsid w:val="004A1E48"/>
    <w:rsid w:val="004B176D"/>
    <w:rsid w:val="004F0FFA"/>
    <w:rsid w:val="005432E9"/>
    <w:rsid w:val="005825EB"/>
    <w:rsid w:val="00601161"/>
    <w:rsid w:val="006410BD"/>
    <w:rsid w:val="00662E4F"/>
    <w:rsid w:val="00795FE9"/>
    <w:rsid w:val="00822C1C"/>
    <w:rsid w:val="00832166"/>
    <w:rsid w:val="00833839"/>
    <w:rsid w:val="008D679A"/>
    <w:rsid w:val="0090016C"/>
    <w:rsid w:val="0090589F"/>
    <w:rsid w:val="00950722"/>
    <w:rsid w:val="00A8722A"/>
    <w:rsid w:val="00AE029E"/>
    <w:rsid w:val="00B0175C"/>
    <w:rsid w:val="00C31A33"/>
    <w:rsid w:val="00C84213"/>
    <w:rsid w:val="00CA0F12"/>
    <w:rsid w:val="00D65572"/>
    <w:rsid w:val="00D9602C"/>
    <w:rsid w:val="00DB5F1E"/>
    <w:rsid w:val="00DC39A1"/>
    <w:rsid w:val="00EC1EBB"/>
    <w:rsid w:val="00EC2BC2"/>
    <w:rsid w:val="00F0362B"/>
    <w:rsid w:val="00F15FAA"/>
    <w:rsid w:val="00F2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8E5CC"/>
  <w15:docId w15:val="{73211DC1-D944-4258-A8CE-CD035741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6FD5"/>
    <w:pPr>
      <w:spacing w:after="0" w:line="240" w:lineRule="auto"/>
    </w:pPr>
  </w:style>
  <w:style w:type="paragraph" w:styleId="BalloonText">
    <w:name w:val="Balloon Text"/>
    <w:basedOn w:val="Normal"/>
    <w:link w:val="BalloonTextChar"/>
    <w:uiPriority w:val="99"/>
    <w:semiHidden/>
    <w:unhideWhenUsed/>
    <w:rsid w:val="000666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670"/>
    <w:rPr>
      <w:rFonts w:ascii="Segoe UI" w:hAnsi="Segoe UI" w:cs="Segoe UI"/>
      <w:sz w:val="18"/>
      <w:szCs w:val="18"/>
    </w:rPr>
  </w:style>
  <w:style w:type="paragraph" w:customStyle="1" w:styleId="Default">
    <w:name w:val="Default"/>
    <w:rsid w:val="00662E4F"/>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AE029E"/>
    <w:rPr>
      <w:b/>
      <w:bCs/>
    </w:rPr>
  </w:style>
  <w:style w:type="paragraph" w:customStyle="1" w:styleId="Subhead">
    <w:name w:val="Subhead"/>
    <w:basedOn w:val="Normal"/>
    <w:qFormat/>
    <w:rsid w:val="002A2430"/>
    <w:pPr>
      <w:snapToGrid w:val="0"/>
      <w:spacing w:after="0" w:line="260" w:lineRule="exact"/>
      <w:ind w:left="792"/>
    </w:pPr>
    <w:rPr>
      <w:rFonts w:ascii="Helvetica" w:eastAsia="Helvetica" w:hAnsi="Helvetica" w:cs="Helvetica"/>
      <w:b/>
      <w:bCs/>
      <w:sz w:val="20"/>
      <w:szCs w:val="20"/>
    </w:rPr>
  </w:style>
  <w:style w:type="paragraph" w:customStyle="1" w:styleId="SubheadBodycopy">
    <w:name w:val="Subhead / Body copy"/>
    <w:basedOn w:val="Normal"/>
    <w:qFormat/>
    <w:rsid w:val="002A2430"/>
    <w:pPr>
      <w:snapToGrid w:val="0"/>
      <w:spacing w:after="180" w:line="260" w:lineRule="exact"/>
      <w:ind w:left="792"/>
    </w:pPr>
    <w:rPr>
      <w:rFonts w:ascii="Helvetica Light" w:eastAsia="Helvetica" w:hAnsi="Helvetica Light" w:cs="Helvetica"/>
      <w:noProof/>
      <w:sz w:val="20"/>
      <w:szCs w:val="20"/>
    </w:rPr>
  </w:style>
  <w:style w:type="paragraph" w:customStyle="1" w:styleId="Callout">
    <w:name w:val="Callout"/>
    <w:qFormat/>
    <w:rsid w:val="002A2430"/>
    <w:pPr>
      <w:spacing w:after="0" w:line="260" w:lineRule="exact"/>
    </w:pPr>
    <w:rPr>
      <w:rFonts w:ascii="Helvetica" w:eastAsia="Helvetica" w:hAnsi="Helvetica" w:cs="Helvetica"/>
      <w:b/>
      <w:bCs/>
      <w:color w:val="FFFFFF" w:themeColor="background1"/>
      <w:sz w:val="20"/>
      <w:szCs w:val="20"/>
    </w:rPr>
  </w:style>
  <w:style w:type="character" w:styleId="Hyperlink">
    <w:name w:val="Hyperlink"/>
    <w:basedOn w:val="DefaultParagraphFont"/>
    <w:uiPriority w:val="99"/>
    <w:unhideWhenUsed/>
    <w:rsid w:val="003B45C5"/>
    <w:rPr>
      <w:color w:val="0563C1" w:themeColor="hyperlink"/>
      <w:u w:val="single"/>
    </w:rPr>
  </w:style>
  <w:style w:type="character" w:customStyle="1" w:styleId="dfm-title">
    <w:name w:val="dfm-title"/>
    <w:basedOn w:val="DefaultParagraphFont"/>
    <w:rsid w:val="003B45C5"/>
  </w:style>
  <w:style w:type="paragraph" w:styleId="NormalWeb">
    <w:name w:val="Normal (Web)"/>
    <w:basedOn w:val="Normal"/>
    <w:uiPriority w:val="99"/>
    <w:semiHidden/>
    <w:unhideWhenUsed/>
    <w:rsid w:val="003B45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ginfo.legislature.ca.gov/faces/billNavClient.xhtml?bill_id=201920200AB1054" TargetMode="External"/><Relationship Id="rId18" Type="http://schemas.openxmlformats.org/officeDocument/2006/relationships/hyperlink" Target="https://www.mantecabulletin.com/news/local-news/ssjid-renews-116m-pge-offe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mantecabulletin.com/news/local-news/ssjid-renews-116m-pge-offer/" TargetMode="External"/><Relationship Id="rId17" Type="http://schemas.openxmlformats.org/officeDocument/2006/relationships/hyperlink" Target="https://www.dailydemocrat.com/2019/10/19/yolo-countys-valley-clean-energy-makes-bid-for-pge-distribution-assets/" TargetMode="External"/><Relationship Id="rId2" Type="http://schemas.openxmlformats.org/officeDocument/2006/relationships/customXml" Target="../customXml/item2.xml"/><Relationship Id="rId16" Type="http://schemas.openxmlformats.org/officeDocument/2006/relationships/hyperlink" Target="https://sanfrancisco.cbslocal.com/2019/09/08/san-francisco-offers-billions-buy-pge-electric-infrastructure/" TargetMode="External"/><Relationship Id="rId20" Type="http://schemas.openxmlformats.org/officeDocument/2006/relationships/hyperlink" Target="https://leginfo.legislature.ca.gov/faces/billTextClient.xhtml?bill_id=201920200AB235&amp;search_keywords=surity+bon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ailydemocrat.com/2019/10/19/yolo-countys-valley-clean-energy-makes-bid-for-pge-distribution-assets/" TargetMode="External"/><Relationship Id="rId5" Type="http://schemas.openxmlformats.org/officeDocument/2006/relationships/styles" Target="styles.xml"/><Relationship Id="rId15" Type="http://schemas.openxmlformats.org/officeDocument/2006/relationships/hyperlink" Target="https://www.sacbee.com/news/local/article236407448.html" TargetMode="External"/><Relationship Id="rId10" Type="http://schemas.openxmlformats.org/officeDocument/2006/relationships/hyperlink" Target="https://sanfrancisco.cbslocal.com/2019/09/08/san-francisco-offers-billions-buy-pge-electric-infrastructure/" TargetMode="External"/><Relationship Id="rId19" Type="http://schemas.openxmlformats.org/officeDocument/2006/relationships/hyperlink" Target="https://leginfo.legislature.ca.gov/faces/billNavClient.xhtml?bill_id=201920200AB1054" TargetMode="External"/><Relationship Id="rId4" Type="http://schemas.openxmlformats.org/officeDocument/2006/relationships/numbering" Target="numbering.xml"/><Relationship Id="rId9" Type="http://schemas.openxmlformats.org/officeDocument/2006/relationships/hyperlink" Target="https://www.sacbee.com/news/local/article236407448.html" TargetMode="External"/><Relationship Id="rId14" Type="http://schemas.openxmlformats.org/officeDocument/2006/relationships/hyperlink" Target="https://leginfo.legislature.ca.gov/faces/billTextClient.xhtml?bill_id=201920200AB235&amp;search_keywords=surity+bon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9EC31423BFF54799329C2584AD4C04" ma:contentTypeVersion="13" ma:contentTypeDescription="Create a new document." ma:contentTypeScope="" ma:versionID="dbd0ec0e0ac66c7ec9de10d91c11b3cc">
  <xsd:schema xmlns:xsd="http://www.w3.org/2001/XMLSchema" xmlns:xs="http://www.w3.org/2001/XMLSchema" xmlns:p="http://schemas.microsoft.com/office/2006/metadata/properties" xmlns:ns3="cca019db-0e2a-4553-9271-11b4a85af970" xmlns:ns4="2153ddab-89fa-42c5-9581-93811ff02d20" targetNamespace="http://schemas.microsoft.com/office/2006/metadata/properties" ma:root="true" ma:fieldsID="5864aab24d2e13e077068f528daa417e" ns3:_="" ns4:_="">
    <xsd:import namespace="cca019db-0e2a-4553-9271-11b4a85af970"/>
    <xsd:import namespace="2153ddab-89fa-42c5-9581-93811ff02d2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019db-0e2a-4553-9271-11b4a85af97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53ddab-89fa-42c5-9581-93811ff02d2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F32849-04C2-47C7-A562-DEAAFFD46287}">
  <ds:schemaRefs>
    <ds:schemaRef ds:uri="http://schemas.microsoft.com/sharepoint/v3/contenttype/forms"/>
  </ds:schemaRefs>
</ds:datastoreItem>
</file>

<file path=customXml/itemProps2.xml><?xml version="1.0" encoding="utf-8"?>
<ds:datastoreItem xmlns:ds="http://schemas.openxmlformats.org/officeDocument/2006/customXml" ds:itemID="{7BFC0BC7-3341-435E-8DD8-FD7C3DDC2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019db-0e2a-4553-9271-11b4a85af970"/>
    <ds:schemaRef ds:uri="2153ddab-89fa-42c5-9581-93811ff02d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787FF7-061C-4A1D-8E2C-FC84D96861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Nevada Irrigation District</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Lauer</dc:creator>
  <cp:lastModifiedBy>Susan Lauer</cp:lastModifiedBy>
  <cp:revision>2</cp:revision>
  <cp:lastPrinted>2019-10-29T22:26:00Z</cp:lastPrinted>
  <dcterms:created xsi:type="dcterms:W3CDTF">2019-10-29T23:51:00Z</dcterms:created>
  <dcterms:modified xsi:type="dcterms:W3CDTF">2019-10-29T23:51:00Z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0x010100E59EC31423BFF54799329C2584AD4C04</vt:lpwstr>
  </property>
</Properties>
</file>